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1DCBB">
      <w:pPr>
        <w:rPr>
          <w:rFonts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74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220"/>
        <w:gridCol w:w="600"/>
        <w:gridCol w:w="4635"/>
        <w:gridCol w:w="1020"/>
        <w:gridCol w:w="735"/>
      </w:tblGrid>
      <w:tr w14:paraId="35237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8" w:hRule="atLeast"/>
          <w:tblHeader/>
          <w:jc w:val="center"/>
        </w:trPr>
        <w:tc>
          <w:tcPr>
            <w:tcW w:w="8748" w:type="dxa"/>
            <w:gridSpan w:val="6"/>
            <w:tcBorders>
              <w:top w:val="nil"/>
              <w:left w:val="nil"/>
              <w:bottom w:val="nil"/>
              <w:right w:val="nil"/>
            </w:tcBorders>
            <w:shd w:val="clear" w:color="auto" w:fill="auto"/>
            <w:noWrap/>
            <w:vAlign w:val="center"/>
          </w:tcPr>
          <w:p w14:paraId="21D2206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水果常用类最高控制价明细表</w:t>
            </w:r>
          </w:p>
        </w:tc>
      </w:tr>
      <w:tr w14:paraId="3690F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B9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FEE0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6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13B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51EE2">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BC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CEDA">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2E4C0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C23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D89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红心火龙果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8F48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AD8D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红心火龙果 表皮鲜红，鳞片青绿；手感沉重，果形饱满；果肉紫红，无褐变、无透明化；甜度高，无异味。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D0C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815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6434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948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1D78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香蕉</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A4B1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6E1A3">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表皮鲜黄带绿柄，无黑斑或少量斑点；手感稍软，无硬芯；果肉乳白，无褐变、无冻伤；香气浓郁。</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40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2.29</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D8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78E3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3B3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BC3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苹果75#</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59EB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595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果形端正，颜色均匀（红/青/黄）；表皮光滑，无皱皮、无疤痕；手感坚实，无发绵；果肉脆甜，无冻伤、无褐变。</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F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6A24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52F4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7BD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AE13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圣女果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770F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577E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颜色鲜红或黄，果形椭圆；带萼片，果皮光滑；口感清甜，无裂口、无软烂。</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D846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D7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EAE1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DEA8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ADA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白心火龙果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64C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FC0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表皮粉红或红绿相间，鳞片鲜绿；果形饱满，手感沉重；果肉洁白，无透明化、无褐变；甜脆多汁，无异味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6F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4.20</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0F9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B9EE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395A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7494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无籽红提</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4053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FFCA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果粒深红或紫黑，均匀一致；果粉完整，果梗鲜绿；无脱粒、无皱皮、无裂果；甜脆无籽或籽小。</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5C7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5.96</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C5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9A51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A103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DD3D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苹果85#</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608D5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58E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果形端正，颜色均匀（红/青/黄）；表皮光滑，无皱皮、无疤痕；手感坚实，无发绵；果肉脆甜，无冻伤、无褐变。</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84A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6.88</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BA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1AE1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0EC4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C92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黄皮哈密瓜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706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E78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表皮金黄，网纹清晰；手感沉重，脐部略有弹性；香气浓郁，无发酵味；果肉橘黄，无透明化、无过熟。</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BE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42E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C022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507C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B19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人参果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C1D5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4BB9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手感微软且富有弹性，表明成熟度适中。过硬则未熟，过软则可能过熟或腐烂。无明显的碰伤、压痕、裂口、病斑及腐烂点。</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76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BA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FD87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A27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C0E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砂糖橘</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D18AA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E1D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表皮橙黄或橙红，光滑有光泽；手感稍软，皮薄易剥；果瓣饱满，无干枯；甜酸适中，无异味。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B0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2.73</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E6A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31BA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2937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06D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绿皮哈密瓜</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457B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EAA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表皮深绿或灰绿，网纹突出；手感沉重，脐部无软烂；果肉浅绿或白，脆甜多汁；无过熟、无发酵味。</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89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4.59</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44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8DA6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4B193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A98D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水晶梨</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9E99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5088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表皮橙黄带绿，光滑无斑点；手感稍软，有弹性；果肉橙红，种子黑亮；香气清甜，无苦味、无发酵。</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202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657C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EB97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C6AF76">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04EA2">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冬枣</w:t>
            </w:r>
          </w:p>
        </w:tc>
        <w:tc>
          <w:tcPr>
            <w:tcW w:w="60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1AE6AD">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4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F6D7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表皮橙黄带绿，光滑无斑点；手感稍软，有弹性；果肉橙红，种子黑亮；香气清甜，    无苦味、无发酵。</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018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5.05</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19E6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9C54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699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CC29">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915B4">
            <w:pPr>
              <w:snapToGrid w:val="0"/>
              <w:ind w:left="0" w:leftChars="0" w:right="0" w:rightChars="0"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59.21</w:t>
            </w:r>
          </w:p>
        </w:tc>
        <w:tc>
          <w:tcPr>
            <w:tcW w:w="7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8CC04">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r>
    </w:tbl>
    <w:p w14:paraId="6091413C">
      <w:pPr>
        <w:pStyle w:val="18"/>
        <w:shd w:val="clear" w:color="auto" w:fill="FFFFFF"/>
        <w:spacing w:before="156" w:beforeLines="50" w:beforeAutospacing="0" w:after="156" w:afterLines="50" w:afterAutospacing="0" w:line="600" w:lineRule="exact"/>
        <w:rPr>
          <w:rFonts w:hint="eastAsia" w:ascii="黑体" w:hAnsi="黑体" w:eastAsia="黑体" w:cs="黑体"/>
          <w:sz w:val="21"/>
          <w:szCs w:val="21"/>
          <w:shd w:val="clear" w:color="auto" w:fill="FFFFFF"/>
        </w:rPr>
      </w:pPr>
    </w:p>
    <w:tbl>
      <w:tblPr>
        <w:tblStyle w:val="21"/>
        <w:tblW w:w="465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234"/>
        <w:gridCol w:w="750"/>
        <w:gridCol w:w="4093"/>
        <w:gridCol w:w="1020"/>
        <w:gridCol w:w="834"/>
      </w:tblGrid>
      <w:tr w14:paraId="32E5A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30" w:hRule="atLeast"/>
          <w:jc w:val="center"/>
        </w:trPr>
        <w:tc>
          <w:tcPr>
            <w:tcW w:w="5000" w:type="pct"/>
            <w:gridSpan w:val="6"/>
            <w:tcBorders>
              <w:top w:val="nil"/>
              <w:left w:val="nil"/>
              <w:bottom w:val="nil"/>
              <w:right w:val="nil"/>
            </w:tcBorders>
            <w:shd w:val="clear" w:color="auto" w:fill="auto"/>
            <w:noWrap/>
            <w:vAlign w:val="center"/>
          </w:tcPr>
          <w:p w14:paraId="2127C9F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表二：      水果普通类最高控制价明细表</w:t>
            </w:r>
          </w:p>
        </w:tc>
      </w:tr>
      <w:tr w14:paraId="3E32E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C315">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DA57">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48F8B">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37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B88E7">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536AA3">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4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137D">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备注（税率）</w:t>
            </w:r>
          </w:p>
        </w:tc>
      </w:tr>
      <w:tr w14:paraId="0EC54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BB006">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6C1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猕猴桃</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2DB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2E12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表皮棕黄或青黄，毛刺完整；手感稍软但不过软，无凹陷；无腐烂、无霉斑、无冻伤；香气清新。</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88A4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5.50</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DF08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31448C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5B75E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4E6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柠檬</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4458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586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表皮鲜黄或浅黄，光亮无皱缩；重量沉手，汁水足；无褐斑、无霉点、无干瘪；香气浓郁。</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EACF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1.83</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1B59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D378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98A75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C6F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香梨</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F5E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86B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果形端正，表皮光滑，颜色黄绿带红晕；果肉细腻，无磕碰、无褐变；香气清甜，无发酵味</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C6B7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5.05</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98ED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6F80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54A415">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5C3A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桂圆</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50D1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272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果壳棕黄或淡褐，完整无裂；果肉透明饱满，不粘壳；无虫蛀、无发酵味；甜度高，汁液清。</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A0F4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8.26</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E322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6E64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4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85BF8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A57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千禧</w:t>
            </w:r>
          </w:p>
        </w:tc>
        <w:tc>
          <w:tcPr>
            <w:tcW w:w="4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3A71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12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颜色鲜红均匀，表皮光滑；果形圆润，带萼片新鲜；口感脆甜，无裂口、无软烂；无药斑、无畸形。</w:t>
            </w:r>
          </w:p>
        </w:tc>
        <w:tc>
          <w:tcPr>
            <w:tcW w:w="5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E800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2"/>
                <w:szCs w:val="22"/>
                <w:u w:val="none"/>
                <w:lang w:val="en-US" w:eastAsia="zh-CN" w:bidi="ar"/>
              </w:rPr>
              <w:t>6.48</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3917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433C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2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C25D">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BC5AC">
            <w:pPr>
              <w:snapToGrid w:val="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27.12</w:t>
            </w:r>
          </w:p>
        </w:tc>
        <w:tc>
          <w:tcPr>
            <w:tcW w:w="4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F9CC3">
            <w:pPr>
              <w:snapToGrid w:val="0"/>
              <w:rPr>
                <w:rFonts w:hint="eastAsia" w:ascii="宋体" w:hAnsi="宋体" w:eastAsia="宋体" w:cs="宋体"/>
                <w:i w:val="0"/>
                <w:iCs w:val="0"/>
                <w:color w:val="000000"/>
                <w:sz w:val="21"/>
                <w:szCs w:val="21"/>
                <w:u w:val="none"/>
              </w:rPr>
            </w:pPr>
          </w:p>
        </w:tc>
      </w:tr>
    </w:tbl>
    <w:p w14:paraId="2D66296C">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554239F3">
      <w:pPr>
        <w:rPr>
          <w:rFonts w:hint="eastAsia"/>
          <w:lang w:val="en-US" w:eastAsia="zh-CN"/>
        </w:rPr>
      </w:pPr>
      <w:r>
        <w:rPr>
          <w:rFonts w:hint="eastAsia"/>
          <w:lang w:val="en-US" w:eastAsia="zh-CN"/>
        </w:rPr>
        <w:br w:type="page"/>
      </w:r>
    </w:p>
    <w:p w14:paraId="469302BB">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6230B52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368C78C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0DC5124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三明明城酒店有限公司食材定点采购与配送--水果类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三明明城酒店有限公司食材定点采购与配送--水果类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2528917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0A727BB">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37FF6EC5">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0C23ADD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088ED1F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64C191F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1D38C8E9">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5C0C8DC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73D6D58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4ADF06C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6E7C8E0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2BB0B4AA">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2C84BBEB">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D433E3E">
      <w:pPr>
        <w:rPr>
          <w:rFonts w:hint="eastAsia" w:ascii="宋体"/>
          <w:b/>
          <w:color w:val="auto"/>
          <w:sz w:val="32"/>
          <w:szCs w:val="32"/>
          <w:highlight w:val="none"/>
        </w:rPr>
      </w:pPr>
      <w:r>
        <w:rPr>
          <w:rFonts w:hint="eastAsia" w:ascii="宋体"/>
          <w:b/>
          <w:color w:val="auto"/>
          <w:sz w:val="32"/>
          <w:szCs w:val="32"/>
          <w:highlight w:val="none"/>
        </w:rPr>
        <w:br w:type="page"/>
      </w:r>
    </w:p>
    <w:p w14:paraId="0D3C8A15">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7365463">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2976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62DF6761">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01E29FFF">
            <w:pPr>
              <w:pStyle w:val="45"/>
              <w:jc w:val="center"/>
              <w:rPr>
                <w:rFonts w:hint="eastAsia" w:ascii="宋体" w:cs="仿宋_GB2312"/>
                <w:color w:val="auto"/>
                <w:spacing w:val="14"/>
                <w:szCs w:val="21"/>
                <w:highlight w:val="none"/>
              </w:rPr>
            </w:pPr>
          </w:p>
        </w:tc>
      </w:tr>
      <w:tr w14:paraId="64E9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C9F0B18">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789E138">
            <w:pPr>
              <w:pStyle w:val="45"/>
              <w:jc w:val="center"/>
              <w:rPr>
                <w:rFonts w:hint="eastAsia" w:ascii="宋体" w:cs="仿宋_GB2312"/>
                <w:color w:val="auto"/>
                <w:spacing w:val="14"/>
                <w:szCs w:val="21"/>
                <w:highlight w:val="none"/>
              </w:rPr>
            </w:pPr>
          </w:p>
        </w:tc>
      </w:tr>
      <w:tr w14:paraId="2B88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1171103">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0A04860B">
            <w:pPr>
              <w:pStyle w:val="45"/>
              <w:jc w:val="center"/>
              <w:rPr>
                <w:rFonts w:hint="eastAsia" w:ascii="宋体" w:cs="仿宋_GB2312"/>
                <w:color w:val="auto"/>
                <w:spacing w:val="14"/>
                <w:szCs w:val="21"/>
                <w:highlight w:val="none"/>
              </w:rPr>
            </w:pPr>
          </w:p>
        </w:tc>
        <w:tc>
          <w:tcPr>
            <w:tcW w:w="1440" w:type="dxa"/>
            <w:noWrap w:val="0"/>
            <w:vAlign w:val="center"/>
          </w:tcPr>
          <w:p w14:paraId="0EC037C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678665F6">
            <w:pPr>
              <w:pStyle w:val="45"/>
              <w:jc w:val="center"/>
              <w:rPr>
                <w:rFonts w:hint="eastAsia" w:ascii="宋体" w:cs="仿宋_GB2312"/>
                <w:color w:val="auto"/>
                <w:spacing w:val="14"/>
                <w:szCs w:val="21"/>
                <w:highlight w:val="none"/>
              </w:rPr>
            </w:pPr>
          </w:p>
        </w:tc>
      </w:tr>
      <w:tr w14:paraId="2EC5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5A957B6">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3E1D45B4">
            <w:pPr>
              <w:pStyle w:val="45"/>
              <w:jc w:val="center"/>
              <w:rPr>
                <w:rFonts w:hint="eastAsia" w:ascii="宋体" w:cs="仿宋_GB2312"/>
                <w:color w:val="auto"/>
                <w:spacing w:val="14"/>
                <w:szCs w:val="21"/>
                <w:highlight w:val="none"/>
              </w:rPr>
            </w:pPr>
          </w:p>
        </w:tc>
        <w:tc>
          <w:tcPr>
            <w:tcW w:w="1440" w:type="dxa"/>
            <w:noWrap w:val="0"/>
            <w:vAlign w:val="center"/>
          </w:tcPr>
          <w:p w14:paraId="37F9C981">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3FA17D0C">
            <w:pPr>
              <w:pStyle w:val="45"/>
              <w:jc w:val="center"/>
              <w:rPr>
                <w:rFonts w:hint="eastAsia" w:ascii="宋体" w:cs="仿宋_GB2312"/>
                <w:color w:val="auto"/>
                <w:spacing w:val="14"/>
                <w:szCs w:val="21"/>
                <w:highlight w:val="none"/>
              </w:rPr>
            </w:pPr>
          </w:p>
        </w:tc>
      </w:tr>
      <w:tr w14:paraId="069A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E261138">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117894A2">
            <w:pPr>
              <w:pStyle w:val="45"/>
              <w:jc w:val="center"/>
              <w:rPr>
                <w:rFonts w:hint="eastAsia" w:ascii="宋体" w:cs="仿宋_GB2312"/>
                <w:color w:val="auto"/>
                <w:spacing w:val="14"/>
                <w:szCs w:val="21"/>
                <w:highlight w:val="none"/>
              </w:rPr>
            </w:pPr>
          </w:p>
        </w:tc>
        <w:tc>
          <w:tcPr>
            <w:tcW w:w="1440" w:type="dxa"/>
            <w:noWrap w:val="0"/>
            <w:vAlign w:val="center"/>
          </w:tcPr>
          <w:p w14:paraId="2A38009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6FED6BDC">
            <w:pPr>
              <w:pStyle w:val="45"/>
              <w:jc w:val="center"/>
              <w:rPr>
                <w:rFonts w:hint="eastAsia" w:ascii="宋体" w:cs="仿宋_GB2312"/>
                <w:color w:val="auto"/>
                <w:spacing w:val="14"/>
                <w:szCs w:val="21"/>
                <w:highlight w:val="none"/>
              </w:rPr>
            </w:pPr>
          </w:p>
        </w:tc>
      </w:tr>
      <w:tr w14:paraId="25865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82FC5F4">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0C82CCF3">
            <w:pPr>
              <w:pStyle w:val="45"/>
              <w:jc w:val="center"/>
              <w:rPr>
                <w:rFonts w:hint="eastAsia" w:ascii="宋体" w:cs="仿宋_GB2312"/>
                <w:color w:val="auto"/>
                <w:spacing w:val="14"/>
                <w:szCs w:val="21"/>
                <w:highlight w:val="none"/>
              </w:rPr>
            </w:pPr>
          </w:p>
        </w:tc>
        <w:tc>
          <w:tcPr>
            <w:tcW w:w="1440" w:type="dxa"/>
            <w:noWrap w:val="0"/>
            <w:vAlign w:val="center"/>
          </w:tcPr>
          <w:p w14:paraId="00DE9D04">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141F4DA7">
            <w:pPr>
              <w:pStyle w:val="45"/>
              <w:jc w:val="center"/>
              <w:rPr>
                <w:rFonts w:hint="eastAsia" w:ascii="宋体" w:cs="仿宋_GB2312"/>
                <w:color w:val="auto"/>
                <w:spacing w:val="14"/>
                <w:szCs w:val="21"/>
                <w:highlight w:val="none"/>
              </w:rPr>
            </w:pPr>
          </w:p>
        </w:tc>
      </w:tr>
      <w:tr w14:paraId="070B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2B101DCF">
            <w:pPr>
              <w:pStyle w:val="45"/>
              <w:rPr>
                <w:rFonts w:hint="eastAsia" w:ascii="宋体" w:cs="仿宋_GB2312"/>
                <w:color w:val="auto"/>
                <w:spacing w:val="14"/>
                <w:szCs w:val="21"/>
                <w:highlight w:val="none"/>
              </w:rPr>
            </w:pPr>
          </w:p>
          <w:p w14:paraId="119179FF">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FD48650">
      <w:pPr>
        <w:pStyle w:val="45"/>
        <w:rPr>
          <w:rFonts w:hint="eastAsia" w:ascii="宋体" w:cs="仿宋_GB2312"/>
          <w:color w:val="auto"/>
          <w:spacing w:val="14"/>
          <w:sz w:val="24"/>
          <w:highlight w:val="none"/>
        </w:rPr>
      </w:pPr>
    </w:p>
    <w:p w14:paraId="0C93562E">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7FD6D7A8">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02643D32">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6912DA63">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847EC7A">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065A2C3B">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印件、法定代表人身份证复印件</w:t>
      </w:r>
      <w:r>
        <w:rPr>
          <w:rFonts w:hint="eastAsia" w:ascii="宋体"/>
          <w:b/>
          <w:bCs w:val="0"/>
          <w:color w:val="auto"/>
          <w:sz w:val="22"/>
          <w:szCs w:val="22"/>
          <w:highlight w:val="none"/>
          <w:u w:val="none"/>
          <w:lang w:eastAsia="zh-CN"/>
        </w:rPr>
        <w:t>；</w:t>
      </w:r>
    </w:p>
    <w:p w14:paraId="30F392E8">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《食品生产许可证》或《食品经营许可证》或《食品药品生产许可证》或《食品药品经营许可证》证书复印件；</w:t>
      </w:r>
    </w:p>
    <w:p w14:paraId="5C52DEBB">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，通过信用中国（www.creditchina.gov.cn）查询其上述信用记录的信用信息查询结果网页打印件或截图证明材料。</w:t>
      </w:r>
    </w:p>
    <w:p w14:paraId="2AB26B75">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上述所有材料均须加盖单位公章</w:t>
      </w:r>
      <w:r>
        <w:rPr>
          <w:rFonts w:hint="eastAsia" w:ascii="宋体" w:hAnsi="宋体" w:eastAsia="宋体" w:cs="宋体"/>
          <w:b/>
          <w:bCs w:val="0"/>
          <w:color w:val="auto"/>
          <w:szCs w:val="21"/>
          <w:highlight w:val="none"/>
          <w:u w:val="none"/>
          <w:lang w:val="en-US" w:eastAsia="zh-CN"/>
        </w:rPr>
        <w:t>；</w:t>
      </w:r>
    </w:p>
    <w:p w14:paraId="637A5B6B">
      <w:pPr>
        <w:pStyle w:val="6"/>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w:t>
      </w:r>
      <w:r>
        <w:rPr>
          <w:rFonts w:hint="eastAsia" w:ascii="宋体" w:hAnsi="宋体" w:eastAsia="宋体" w:cs="宋体"/>
          <w:b/>
          <w:bCs w:val="0"/>
          <w:color w:val="auto"/>
          <w:szCs w:val="21"/>
          <w:highlight w:val="none"/>
          <w:u w:val="double"/>
          <w:lang w:eastAsia="zh-CN"/>
        </w:rPr>
        <w:t>，</w:t>
      </w:r>
      <w:r>
        <w:rPr>
          <w:rFonts w:hint="eastAsia" w:ascii="宋体" w:hAnsi="宋体" w:eastAsia="宋体" w:cs="宋体"/>
          <w:b/>
          <w:bCs w:val="0"/>
          <w:color w:val="auto"/>
          <w:szCs w:val="21"/>
          <w:highlight w:val="none"/>
          <w:u w:val="double"/>
        </w:rPr>
        <w:t>否则为证书无效进行评定</w:t>
      </w:r>
      <w:r>
        <w:rPr>
          <w:rFonts w:hint="eastAsia" w:ascii="宋体" w:hAnsi="宋体" w:eastAsia="宋体" w:cs="宋体"/>
          <w:b/>
          <w:bCs w:val="0"/>
          <w:color w:val="auto"/>
          <w:szCs w:val="21"/>
          <w:highlight w:val="none"/>
          <w:u w:val="none"/>
        </w:rPr>
        <w:t>。</w:t>
      </w:r>
    </w:p>
    <w:p w14:paraId="4F17F2E8">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67545030">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1D794092">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52E9218E">
      <w:pPr>
        <w:pStyle w:val="18"/>
        <w:shd w:val="clear" w:color="auto" w:fill="FFFFFF"/>
        <w:spacing w:before="0" w:beforeAutospacing="0" w:after="0" w:afterAutospacing="0" w:line="560" w:lineRule="atLeast"/>
        <w:ind w:firstLine="640"/>
        <w:rPr>
          <w:color w:val="auto"/>
          <w:highlight w:val="none"/>
          <w:shd w:val="clear" w:color="auto" w:fill="FFFFFF"/>
        </w:rPr>
      </w:pPr>
    </w:p>
    <w:p w14:paraId="7CA6827A">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33C99A86">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7AB6FBC5">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1382FF4">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536A28BB">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2CEFFA70">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4567E2BD">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2F3C0069">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1AA1A783">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6D7E2608">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489D6343">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348D2368">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0E2B26B2">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187CF6DA">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3472FAF5">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64EFB447">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40F0BF6F">
      <w:pPr>
        <w:pStyle w:val="33"/>
        <w:rPr>
          <w:rFonts w:hint="eastAsia" w:ascii="黑体" w:hAnsi="黑体" w:eastAsia="黑体" w:cs="黑体"/>
          <w:color w:val="auto"/>
          <w:sz w:val="24"/>
          <w:szCs w:val="24"/>
          <w:highlight w:val="none"/>
          <w:shd w:val="clear" w:color="auto" w:fill="FFFFFF"/>
          <w:lang w:eastAsia="zh-CN"/>
        </w:rPr>
      </w:pPr>
    </w:p>
    <w:p w14:paraId="604A7881">
      <w:pPr>
        <w:pStyle w:val="33"/>
        <w:rPr>
          <w:rFonts w:hint="eastAsia" w:ascii="黑体" w:hAnsi="黑体" w:eastAsia="黑体" w:cs="黑体"/>
          <w:color w:val="auto"/>
          <w:sz w:val="24"/>
          <w:szCs w:val="24"/>
          <w:highlight w:val="none"/>
          <w:shd w:val="clear" w:color="auto" w:fill="FFFFFF"/>
          <w:lang w:eastAsia="zh-CN"/>
        </w:rPr>
      </w:pPr>
    </w:p>
    <w:p w14:paraId="4147D0FF">
      <w:pPr>
        <w:pStyle w:val="33"/>
        <w:rPr>
          <w:rFonts w:hint="eastAsia" w:ascii="黑体" w:hAnsi="黑体" w:eastAsia="黑体" w:cs="黑体"/>
          <w:color w:val="auto"/>
          <w:sz w:val="24"/>
          <w:szCs w:val="24"/>
          <w:highlight w:val="none"/>
          <w:shd w:val="clear" w:color="auto" w:fill="FFFFFF"/>
          <w:lang w:eastAsia="zh-CN"/>
        </w:rPr>
      </w:pPr>
    </w:p>
    <w:p w14:paraId="305900D2">
      <w:pPr>
        <w:pStyle w:val="33"/>
        <w:rPr>
          <w:rFonts w:hint="eastAsia" w:ascii="黑体" w:hAnsi="黑体" w:eastAsia="黑体" w:cs="黑体"/>
          <w:color w:val="auto"/>
          <w:sz w:val="24"/>
          <w:szCs w:val="24"/>
          <w:highlight w:val="none"/>
          <w:shd w:val="clear" w:color="auto" w:fill="FFFFFF"/>
          <w:lang w:eastAsia="zh-CN"/>
        </w:rPr>
      </w:pPr>
    </w:p>
    <w:p w14:paraId="41C504C2">
      <w:pPr>
        <w:pStyle w:val="33"/>
        <w:rPr>
          <w:rFonts w:hint="eastAsia" w:ascii="黑体" w:hAnsi="黑体" w:eastAsia="黑体" w:cs="黑体"/>
          <w:color w:val="auto"/>
          <w:sz w:val="24"/>
          <w:szCs w:val="24"/>
          <w:highlight w:val="none"/>
          <w:shd w:val="clear" w:color="auto" w:fill="FFFFFF"/>
          <w:lang w:eastAsia="zh-CN"/>
        </w:rPr>
      </w:pPr>
    </w:p>
    <w:p w14:paraId="7062163B">
      <w:pPr>
        <w:pStyle w:val="33"/>
        <w:rPr>
          <w:rFonts w:hint="eastAsia" w:ascii="黑体" w:hAnsi="黑体" w:eastAsia="黑体" w:cs="黑体"/>
          <w:color w:val="auto"/>
          <w:sz w:val="24"/>
          <w:szCs w:val="24"/>
          <w:highlight w:val="none"/>
          <w:shd w:val="clear" w:color="auto" w:fill="FFFFFF"/>
          <w:lang w:eastAsia="zh-CN"/>
        </w:rPr>
      </w:pPr>
    </w:p>
    <w:p w14:paraId="1763C5AA">
      <w:pPr>
        <w:pStyle w:val="33"/>
        <w:rPr>
          <w:rFonts w:hint="eastAsia" w:ascii="黑体" w:hAnsi="黑体" w:eastAsia="黑体" w:cs="黑体"/>
          <w:color w:val="auto"/>
          <w:sz w:val="24"/>
          <w:szCs w:val="24"/>
          <w:highlight w:val="none"/>
          <w:shd w:val="clear" w:color="auto" w:fill="FFFFFF"/>
          <w:lang w:eastAsia="zh-CN"/>
        </w:rPr>
      </w:pPr>
    </w:p>
    <w:p w14:paraId="2B144ACA">
      <w:pPr>
        <w:pStyle w:val="33"/>
        <w:rPr>
          <w:rFonts w:hint="eastAsia" w:ascii="黑体" w:hAnsi="黑体" w:eastAsia="黑体" w:cs="黑体"/>
          <w:color w:val="auto"/>
          <w:sz w:val="24"/>
          <w:szCs w:val="24"/>
          <w:highlight w:val="none"/>
          <w:shd w:val="clear" w:color="auto" w:fill="FFFFFF"/>
          <w:lang w:eastAsia="zh-CN"/>
        </w:rPr>
      </w:pPr>
    </w:p>
    <w:p w14:paraId="4EC3F4B7">
      <w:pPr>
        <w:pStyle w:val="33"/>
        <w:rPr>
          <w:rFonts w:hint="eastAsia" w:ascii="黑体" w:hAnsi="黑体" w:eastAsia="黑体" w:cs="黑体"/>
          <w:color w:val="auto"/>
          <w:sz w:val="24"/>
          <w:szCs w:val="24"/>
          <w:highlight w:val="none"/>
          <w:shd w:val="clear" w:color="auto" w:fill="FFFFFF"/>
          <w:lang w:eastAsia="zh-CN"/>
        </w:rPr>
      </w:pPr>
    </w:p>
    <w:p w14:paraId="79ADF9E5">
      <w:pPr>
        <w:pStyle w:val="33"/>
        <w:rPr>
          <w:rFonts w:hint="eastAsia" w:ascii="黑体" w:hAnsi="黑体" w:eastAsia="黑体" w:cs="黑体"/>
          <w:color w:val="auto"/>
          <w:sz w:val="24"/>
          <w:szCs w:val="24"/>
          <w:highlight w:val="none"/>
          <w:shd w:val="clear" w:color="auto" w:fill="FFFFFF"/>
          <w:lang w:eastAsia="zh-CN"/>
        </w:rPr>
      </w:pPr>
    </w:p>
    <w:p w14:paraId="5F8BE827">
      <w:pPr>
        <w:pStyle w:val="33"/>
        <w:rPr>
          <w:rFonts w:hint="eastAsia" w:ascii="黑体" w:hAnsi="黑体" w:eastAsia="黑体" w:cs="黑体"/>
          <w:color w:val="auto"/>
          <w:sz w:val="24"/>
          <w:szCs w:val="24"/>
          <w:highlight w:val="none"/>
          <w:shd w:val="clear" w:color="auto" w:fill="FFFFFF"/>
          <w:lang w:eastAsia="zh-CN"/>
        </w:rPr>
      </w:pPr>
    </w:p>
    <w:p w14:paraId="259B9C8C">
      <w:pPr>
        <w:pStyle w:val="33"/>
        <w:rPr>
          <w:rFonts w:hint="eastAsia" w:ascii="黑体" w:hAnsi="黑体" w:eastAsia="黑体" w:cs="黑体"/>
          <w:color w:val="auto"/>
          <w:sz w:val="24"/>
          <w:szCs w:val="24"/>
          <w:highlight w:val="none"/>
          <w:shd w:val="clear" w:color="auto" w:fill="FFFFFF"/>
          <w:lang w:eastAsia="zh-CN"/>
        </w:rPr>
      </w:pPr>
    </w:p>
    <w:p w14:paraId="0742358E">
      <w:pPr>
        <w:pStyle w:val="33"/>
        <w:rPr>
          <w:rFonts w:hint="eastAsia" w:ascii="黑体" w:hAnsi="黑体" w:eastAsia="黑体" w:cs="黑体"/>
          <w:color w:val="auto"/>
          <w:sz w:val="24"/>
          <w:szCs w:val="24"/>
          <w:highlight w:val="none"/>
          <w:shd w:val="clear" w:color="auto" w:fill="FFFFFF"/>
          <w:lang w:eastAsia="zh-CN"/>
        </w:rPr>
      </w:pPr>
    </w:p>
    <w:p w14:paraId="542FDC22">
      <w:pPr>
        <w:pStyle w:val="33"/>
        <w:rPr>
          <w:rFonts w:hint="eastAsia" w:ascii="黑体" w:hAnsi="黑体" w:eastAsia="黑体" w:cs="黑体"/>
          <w:color w:val="auto"/>
          <w:sz w:val="24"/>
          <w:szCs w:val="24"/>
          <w:highlight w:val="none"/>
          <w:shd w:val="clear" w:color="auto" w:fill="FFFFFF"/>
          <w:lang w:eastAsia="zh-CN"/>
        </w:rPr>
      </w:pPr>
    </w:p>
    <w:p w14:paraId="18C304EE">
      <w:pPr>
        <w:pStyle w:val="33"/>
        <w:rPr>
          <w:rFonts w:hint="eastAsia" w:ascii="黑体" w:hAnsi="黑体" w:eastAsia="黑体" w:cs="黑体"/>
          <w:color w:val="auto"/>
          <w:sz w:val="24"/>
          <w:szCs w:val="24"/>
          <w:highlight w:val="none"/>
          <w:shd w:val="clear" w:color="auto" w:fill="FFFFFF"/>
          <w:lang w:eastAsia="zh-CN"/>
        </w:rPr>
      </w:pPr>
    </w:p>
    <w:p w14:paraId="4395EC60">
      <w:pPr>
        <w:pStyle w:val="33"/>
        <w:rPr>
          <w:rFonts w:hint="eastAsia" w:ascii="黑体" w:hAnsi="黑体" w:eastAsia="黑体" w:cs="黑体"/>
          <w:color w:val="auto"/>
          <w:sz w:val="24"/>
          <w:szCs w:val="24"/>
          <w:highlight w:val="none"/>
          <w:shd w:val="clear" w:color="auto" w:fill="FFFFFF"/>
          <w:lang w:eastAsia="zh-CN"/>
        </w:rPr>
      </w:pPr>
    </w:p>
    <w:p w14:paraId="7FDB8564">
      <w:pPr>
        <w:pStyle w:val="33"/>
        <w:rPr>
          <w:rFonts w:hint="eastAsia" w:ascii="黑体" w:hAnsi="黑体" w:eastAsia="黑体" w:cs="黑体"/>
          <w:color w:val="auto"/>
          <w:sz w:val="24"/>
          <w:szCs w:val="24"/>
          <w:highlight w:val="none"/>
          <w:shd w:val="clear" w:color="auto" w:fill="FFFFFF"/>
          <w:lang w:eastAsia="zh-CN"/>
        </w:rPr>
      </w:pPr>
    </w:p>
    <w:p w14:paraId="41FBA2BF">
      <w:pPr>
        <w:pStyle w:val="33"/>
        <w:rPr>
          <w:rFonts w:hint="eastAsia" w:ascii="黑体" w:hAnsi="黑体" w:eastAsia="黑体" w:cs="黑体"/>
          <w:color w:val="auto"/>
          <w:sz w:val="24"/>
          <w:szCs w:val="24"/>
          <w:highlight w:val="none"/>
          <w:shd w:val="clear" w:color="auto" w:fill="FFFFFF"/>
          <w:lang w:eastAsia="zh-CN"/>
        </w:rPr>
      </w:pPr>
    </w:p>
    <w:p w14:paraId="5DA7AF7C">
      <w:pPr>
        <w:pStyle w:val="33"/>
        <w:rPr>
          <w:rFonts w:hint="eastAsia" w:ascii="黑体" w:hAnsi="黑体" w:eastAsia="黑体" w:cs="黑体"/>
          <w:color w:val="auto"/>
          <w:sz w:val="24"/>
          <w:szCs w:val="24"/>
          <w:highlight w:val="none"/>
          <w:shd w:val="clear" w:color="auto" w:fill="FFFFFF"/>
          <w:lang w:eastAsia="zh-CN"/>
        </w:rPr>
      </w:pPr>
    </w:p>
    <w:p w14:paraId="71F5C97B">
      <w:pPr>
        <w:pStyle w:val="33"/>
        <w:rPr>
          <w:rFonts w:hint="eastAsia" w:ascii="黑体" w:hAnsi="黑体" w:eastAsia="黑体" w:cs="黑体"/>
          <w:color w:val="auto"/>
          <w:sz w:val="24"/>
          <w:szCs w:val="24"/>
          <w:highlight w:val="none"/>
          <w:shd w:val="clear" w:color="auto" w:fill="FFFFFF"/>
          <w:lang w:eastAsia="zh-CN"/>
        </w:rPr>
      </w:pPr>
    </w:p>
    <w:p w14:paraId="390D8B7B">
      <w:pPr>
        <w:pStyle w:val="33"/>
        <w:rPr>
          <w:rFonts w:hint="eastAsia" w:ascii="黑体" w:hAnsi="黑体" w:eastAsia="黑体" w:cs="黑体"/>
          <w:color w:val="auto"/>
          <w:sz w:val="24"/>
          <w:szCs w:val="24"/>
          <w:highlight w:val="none"/>
          <w:shd w:val="clear" w:color="auto" w:fill="FFFFFF"/>
          <w:lang w:eastAsia="zh-CN"/>
        </w:rPr>
      </w:pPr>
    </w:p>
    <w:p w14:paraId="38076B68">
      <w:pPr>
        <w:pStyle w:val="33"/>
        <w:rPr>
          <w:rFonts w:hint="eastAsia" w:ascii="黑体" w:hAnsi="黑体" w:eastAsia="黑体" w:cs="黑体"/>
          <w:color w:val="auto"/>
          <w:sz w:val="24"/>
          <w:szCs w:val="24"/>
          <w:highlight w:val="none"/>
          <w:shd w:val="clear" w:color="auto" w:fill="FFFFFF"/>
          <w:lang w:eastAsia="zh-CN"/>
        </w:rPr>
      </w:pPr>
    </w:p>
    <w:p w14:paraId="314CA85D">
      <w:pPr>
        <w:pStyle w:val="33"/>
        <w:rPr>
          <w:rFonts w:hint="eastAsia" w:ascii="黑体" w:hAnsi="黑体" w:eastAsia="黑体" w:cs="黑体"/>
          <w:color w:val="auto"/>
          <w:sz w:val="24"/>
          <w:szCs w:val="24"/>
          <w:highlight w:val="none"/>
          <w:shd w:val="clear" w:color="auto" w:fill="FFFFFF"/>
          <w:lang w:eastAsia="zh-CN"/>
        </w:rPr>
      </w:pPr>
    </w:p>
    <w:p w14:paraId="0BB7E8A7">
      <w:pPr>
        <w:pStyle w:val="33"/>
        <w:rPr>
          <w:rFonts w:hint="eastAsia" w:ascii="黑体" w:hAnsi="黑体" w:eastAsia="黑体" w:cs="黑体"/>
          <w:color w:val="auto"/>
          <w:sz w:val="24"/>
          <w:szCs w:val="24"/>
          <w:highlight w:val="none"/>
          <w:shd w:val="clear" w:color="auto" w:fill="FFFFFF"/>
          <w:lang w:eastAsia="zh-CN"/>
        </w:rPr>
      </w:pPr>
    </w:p>
    <w:p w14:paraId="0C55090D">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35492AFE">
      <w:pPr>
        <w:pStyle w:val="33"/>
        <w:rPr>
          <w:rFonts w:hint="eastAsia" w:ascii="黑体" w:hAnsi="黑体" w:eastAsia="黑体" w:cs="黑体"/>
          <w:color w:val="auto"/>
          <w:sz w:val="32"/>
          <w:szCs w:val="32"/>
          <w:highlight w:val="none"/>
          <w:shd w:val="clear" w:color="auto" w:fill="FFFFFF"/>
          <w:lang w:eastAsia="zh-CN"/>
        </w:rPr>
      </w:pPr>
    </w:p>
    <w:p w14:paraId="0AC8CFF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02D3A53D">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25DB5985">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2D18B63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02DE2DE1">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38855287">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3C33B41C">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52938E1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AB33B85">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24E04862">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报价（不含税）</w:t>
            </w:r>
          </w:p>
        </w:tc>
        <w:tc>
          <w:tcPr>
            <w:tcW w:w="5997" w:type="dxa"/>
            <w:tcBorders>
              <w:top w:val="single" w:color="auto" w:sz="8" w:space="0"/>
              <w:left w:val="single" w:color="auto" w:sz="8" w:space="0"/>
              <w:bottom w:val="nil"/>
              <w:right w:val="single" w:color="auto" w:sz="8" w:space="0"/>
            </w:tcBorders>
            <w:vAlign w:val="center"/>
          </w:tcPr>
          <w:p w14:paraId="6316CBD6">
            <w:pPr>
              <w:tabs>
                <w:tab w:val="left" w:pos="420"/>
                <w:tab w:val="left" w:pos="630"/>
              </w:tabs>
              <w:spacing w:after="120" w:afterLines="50" w:line="480" w:lineRule="exact"/>
              <w:jc w:val="left"/>
              <w:rPr>
                <w:rFonts w:hint="eastAsia" w:ascii="宋体" w:hAnsi="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水果类常用类综合单价（不含税）小计：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水果类常用类综合单价（含税）小计：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4D00E7D3">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水果类普通类综合单价（不含税）小计：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水果类普通类综合单价（含税）小计：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07A5D082">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63837993">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3904A803">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0771CC36">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FCEECF5">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D5D380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43E72407">
      <w:pPr>
        <w:pStyle w:val="18"/>
        <w:spacing w:before="0" w:beforeAutospacing="0" w:after="0" w:afterAutospacing="0" w:line="480" w:lineRule="auto"/>
        <w:jc w:val="both"/>
        <w:rPr>
          <w:color w:val="auto"/>
          <w:highlight w:val="none"/>
        </w:rPr>
      </w:pPr>
    </w:p>
    <w:p w14:paraId="7289D253">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7B1DC17">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DC7E86A">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8181DB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32F3E85">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47C4DEB">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679FC8A1">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37FA8849">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tbl>
      <w:tblPr>
        <w:tblStyle w:val="21"/>
        <w:tblW w:w="87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969"/>
        <w:gridCol w:w="690"/>
        <w:gridCol w:w="4140"/>
        <w:gridCol w:w="881"/>
        <w:gridCol w:w="647"/>
        <w:gridCol w:w="931"/>
      </w:tblGrid>
      <w:tr w14:paraId="39CBA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796" w:type="dxa"/>
            <w:gridSpan w:val="7"/>
            <w:tcBorders>
              <w:top w:val="nil"/>
              <w:left w:val="nil"/>
              <w:bottom w:val="nil"/>
              <w:right w:val="nil"/>
            </w:tcBorders>
            <w:shd w:val="clear" w:color="auto" w:fill="auto"/>
            <w:noWrap/>
            <w:vAlign w:val="center"/>
          </w:tcPr>
          <w:p w14:paraId="76DD05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表一：         水果</w:t>
            </w:r>
            <w:r>
              <w:rPr>
                <w:rFonts w:hint="eastAsia" w:ascii="宋体" w:hAnsi="宋体" w:eastAsia="宋体" w:cs="宋体"/>
                <w:b/>
                <w:bCs/>
                <w:i w:val="0"/>
                <w:iCs w:val="0"/>
                <w:color w:val="auto"/>
                <w:kern w:val="0"/>
                <w:sz w:val="36"/>
                <w:szCs w:val="36"/>
                <w:u w:val="none"/>
                <w:lang w:val="en-US" w:eastAsia="zh-CN" w:bidi="ar"/>
              </w:rPr>
              <w:t>常用类报价表</w:t>
            </w:r>
          </w:p>
        </w:tc>
      </w:tr>
      <w:tr w14:paraId="1EC30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E9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DAA6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D65B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E0A21">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7EB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不含税报价（元）</w:t>
            </w: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C1D48">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74D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含税报价（元）</w:t>
            </w:r>
          </w:p>
        </w:tc>
      </w:tr>
      <w:tr w14:paraId="609A2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31388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985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红心火龙果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B187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E85D">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红心火龙果 表皮鲜红，鳞片青绿；手感沉重，果形饱满；果肉紫红，无褐变、无透明化；甜度高，无异味。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BC3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15E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04F6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576D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C0E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EE5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香蕉</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9F8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7321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表皮鲜黄带绿柄，无黑斑或少量斑点；手感稍软，无硬芯；果肉乳白，无褐变、无冻伤；香气浓郁。</w:t>
            </w:r>
          </w:p>
        </w:tc>
        <w:tc>
          <w:tcPr>
            <w:tcW w:w="8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AB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CA4F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C6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E1A2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9240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67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苹果75#</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3CB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420D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果形端正，颜色均匀（红/青/黄）；表皮光滑，无皱皮、无疤痕；手感坚实，无发绵；果肉脆甜，无冻伤、无褐变。</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E40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71B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48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1FAA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02EED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6F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圣女果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335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94BE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颜色鲜红或黄，果形椭圆；带萼片，果皮光滑；口感清甜，无裂口、无软烂。</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B1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CC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47E9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FF8F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7127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185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白心火龙果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49FD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AD9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表皮粉红或红绿相间，鳞片鲜绿；果形饱满，手感沉重；果肉洁白，无透明化、无褐变；甜脆多汁，无异味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D13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0C85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DE8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1AF9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83D75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B36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无籽红提</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03C0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F90B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 xml:space="preserve"> 果粒深红或紫黑，均匀一致；果粉完整，果梗鲜绿；无脱粒、无皱皮、无裂果；甜脆无籽或籽小。</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606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134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0FB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327B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DC1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DBF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苹果85#</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DD8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17D2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果形端正，颜色均匀（红/青/黄）；表皮光滑，无皱皮、无疤痕；手感坚实，无发绵；果肉脆甜，无冻伤、无褐变。</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E7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5910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83EF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2DB5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DCE4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8F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黄皮哈密瓜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3B8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E71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表皮金黄，网纹清晰；手感沉重，脐部略有弹性；香气浓郁，无发酵味；果肉橘黄，无透明化、无过熟。</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62F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71A3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AE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AFC7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0695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605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人参果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2A6D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FC62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手感微软且富有弹性，表明成熟度适中。过硬则未熟，过软则可能过熟或腐烂。无明显的碰伤、压痕、裂口、病斑及腐烂点。</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A69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EC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66D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9C77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7AB77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CB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砂糖橘</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7607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865FE">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表皮橙黄或橙红，光滑有光泽；手感稍软，皮薄易剥；果瓣饱满，无干枯；甜酸适中，无异味。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8A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966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EA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52C6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DB25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2FA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绿皮哈密瓜</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F33C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51DB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表皮深绿或灰绿，网纹突出；手感沉重，脐部无软烂；果肉浅绿或白，脆甜多汁；无过熟、无发酵味。</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1F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12D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27C7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9059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4D67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80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水晶梨</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E592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F174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表皮橙黄带绿，光滑无斑点；手感稍软，有弹性；果肉橙红，种子黑亮；香气清甜，无苦味、无发酵。</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954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D937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90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D82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85F4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13</w:t>
            </w:r>
          </w:p>
        </w:tc>
        <w:tc>
          <w:tcPr>
            <w:tcW w:w="9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B98D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冬枣</w:t>
            </w:r>
          </w:p>
        </w:tc>
        <w:tc>
          <w:tcPr>
            <w:tcW w:w="69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B64F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4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B42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18"/>
                <w:szCs w:val="18"/>
                <w:u w:val="none"/>
                <w:lang w:val="en-US" w:eastAsia="zh-CN" w:bidi="ar"/>
              </w:rPr>
              <w:t>表皮橙黄带绿，光滑无斑点；手感稍软，有弹性；果肉橙红，种子黑亮；香气清甜，无苦味、无发酵。</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94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5AA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67B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AAF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6337" w:type="dxa"/>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6AFEC">
            <w:pPr>
              <w:snapToGrid w:val="0"/>
              <w:ind w:left="0" w:leftChars="0" w:right="0" w:rightChars="0" w:firstLine="0" w:firstLineChars="0"/>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综合单价小计（元）</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A607">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c>
          <w:tcPr>
            <w:tcW w:w="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C3E5">
            <w:pPr>
              <w:snapToGrid w:val="0"/>
              <w:ind w:left="0" w:leftChars="0" w:right="0" w:rightChars="0" w:firstLine="0" w:firstLineChars="0"/>
              <w:jc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w:t>
            </w:r>
          </w:p>
        </w:tc>
        <w:tc>
          <w:tcPr>
            <w:tcW w:w="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4207">
            <w:pPr>
              <w:snapToGrid w:val="0"/>
              <w:ind w:left="0" w:leftChars="0" w:right="0" w:rightChars="0" w:firstLine="0" w:firstLineChars="0"/>
              <w:jc w:val="center"/>
              <w:rPr>
                <w:rFonts w:hint="eastAsia" w:ascii="宋体" w:hAnsi="宋体" w:eastAsia="宋体" w:cs="宋体"/>
                <w:i w:val="0"/>
                <w:iCs w:val="0"/>
                <w:color w:val="000000"/>
                <w:kern w:val="0"/>
                <w:sz w:val="21"/>
                <w:szCs w:val="21"/>
                <w:highlight w:val="none"/>
                <w:u w:val="none"/>
                <w:lang w:val="en-US" w:eastAsia="zh-CN" w:bidi="ar"/>
              </w:rPr>
            </w:pPr>
          </w:p>
        </w:tc>
      </w:tr>
    </w:tbl>
    <w:p w14:paraId="73E4BA59">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p>
    <w:p w14:paraId="2AB6B77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p w14:paraId="56BD52DD">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97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9"/>
        <w:gridCol w:w="1200"/>
        <w:gridCol w:w="735"/>
        <w:gridCol w:w="3795"/>
        <w:gridCol w:w="975"/>
        <w:gridCol w:w="660"/>
        <w:gridCol w:w="915"/>
      </w:tblGrid>
      <w:tr w14:paraId="73916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7"/>
            <w:tcBorders>
              <w:top w:val="nil"/>
              <w:left w:val="nil"/>
              <w:bottom w:val="nil"/>
              <w:right w:val="nil"/>
            </w:tcBorders>
            <w:shd w:val="clear" w:color="auto" w:fill="auto"/>
            <w:noWrap/>
            <w:vAlign w:val="center"/>
          </w:tcPr>
          <w:p w14:paraId="7090F19E">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表二：           水果</w:t>
            </w:r>
            <w:r>
              <w:rPr>
                <w:rFonts w:hint="eastAsia" w:ascii="宋体" w:hAnsi="宋体" w:eastAsia="宋体" w:cs="宋体"/>
                <w:b/>
                <w:bCs/>
                <w:i w:val="0"/>
                <w:iCs w:val="0"/>
                <w:color w:val="auto"/>
                <w:kern w:val="0"/>
                <w:sz w:val="36"/>
                <w:szCs w:val="36"/>
                <w:u w:val="none"/>
                <w:lang w:val="en-US" w:eastAsia="zh-CN" w:bidi="ar"/>
              </w:rPr>
              <w:t>普通类报价表</w:t>
            </w:r>
          </w:p>
          <w:p w14:paraId="79BF0229">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p>
        </w:tc>
      </w:tr>
      <w:tr w14:paraId="2A72E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2738D">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6E2DF">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4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7AF40">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1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9C4F4">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4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4346F">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不含税报价（元）</w:t>
            </w:r>
          </w:p>
        </w:tc>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C357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5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EE9A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cyan"/>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含税报价（元）</w:t>
            </w:r>
          </w:p>
        </w:tc>
      </w:tr>
      <w:tr w14:paraId="753FC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B59C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27B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猕猴桃</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63C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8FC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表皮棕黄或青黄，毛刺完整；手感稍软但不过软，无凹陷；无腐烂、无霉斑、无冻伤；香气清新。</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9ECC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FA74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620B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B6B6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C72AF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158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柠檬</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2C93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B6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表皮鲜黄或浅黄，光亮无皱缩；重量沉手，汁水足；无褐斑、无霉点、无干瘪；香气浓郁。</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DE67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EE2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94B4E">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B6D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5754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7F8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香梨</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1C88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FCF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果形端正，表皮光滑，颜色黄绿带红晕；果肉细腻，无磕碰、无褐变；香气清甜，无发酵味</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CD9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8779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A056C">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62C6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BAF26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F91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桂圆</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8B838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1E2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果壳棕黄或淡褐，完整无裂；果肉透明饱满，不粘壳；无虫蛀、无发酵味；甜度高，汁液清。</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CC572">
            <w:pPr>
              <w:keepNext w:val="0"/>
              <w:keepLines w:val="0"/>
              <w:widowControl/>
              <w:suppressLineNumbers w:val="0"/>
              <w:jc w:val="both"/>
              <w:textAlignment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 xml:space="preserve">     </w:t>
            </w: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3AFF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6A80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D3E5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A5D8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FA7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千禧</w:t>
            </w:r>
          </w:p>
        </w:tc>
        <w:tc>
          <w:tcPr>
            <w:tcW w:w="41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BA3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7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D7D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18"/>
                <w:szCs w:val="18"/>
                <w:u w:val="none"/>
                <w:lang w:val="en-US" w:eastAsia="zh-CN" w:bidi="ar"/>
              </w:rPr>
              <w:t>颜色鲜红均匀，表皮光滑；果形圆润，带萼片新鲜；口感脆甜，无裂口、无软烂；无药斑、无畸形。</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AC5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78216">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DF6A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2CA3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565"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F94F66">
            <w:pPr>
              <w:snapToGrid w:val="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综合单价小计（元）</w:t>
            </w:r>
          </w:p>
        </w:tc>
        <w:tc>
          <w:tcPr>
            <w:tcW w:w="5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C735E">
            <w:pPr>
              <w:snapToGrid w:val="0"/>
              <w:jc w:val="center"/>
              <w:rPr>
                <w:rFonts w:hint="eastAsia" w:ascii="宋体" w:hAnsi="宋体" w:eastAsia="宋体" w:cs="宋体"/>
                <w:i w:val="0"/>
                <w:iCs w:val="0"/>
                <w:color w:val="000000"/>
                <w:kern w:val="0"/>
                <w:sz w:val="21"/>
                <w:szCs w:val="21"/>
                <w:u w:val="none"/>
                <w:lang w:val="en-US" w:eastAsia="zh-CN" w:bidi="ar"/>
              </w:rPr>
            </w:pPr>
          </w:p>
        </w:tc>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CB798">
            <w:pPr>
              <w:snapToGrid w:val="0"/>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w:t>
            </w:r>
          </w:p>
        </w:tc>
        <w:tc>
          <w:tcPr>
            <w:tcW w:w="5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F4F69F">
            <w:pPr>
              <w:snapToGrid w:val="0"/>
              <w:rPr>
                <w:rFonts w:hint="eastAsia" w:ascii="宋体" w:hAnsi="宋体" w:eastAsia="宋体" w:cs="宋体"/>
                <w:i w:val="0"/>
                <w:iCs w:val="0"/>
                <w:color w:val="000000"/>
                <w:kern w:val="0"/>
                <w:sz w:val="21"/>
                <w:szCs w:val="21"/>
                <w:u w:val="none"/>
                <w:lang w:val="en-US" w:eastAsia="zh-CN" w:bidi="ar"/>
              </w:rPr>
            </w:pPr>
          </w:p>
        </w:tc>
      </w:tr>
    </w:tbl>
    <w:p w14:paraId="753EE37A">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p>
    <w:p w14:paraId="342C6A9A">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6B391FB0">
      <w:pPr>
        <w:pStyle w:val="18"/>
        <w:shd w:val="clear" w:color="auto" w:fill="FFFFFF"/>
        <w:spacing w:beforeLines="50" w:beforeAutospacing="0" w:afterLines="50" w:afterAutospacing="0" w:line="580" w:lineRule="atLeast"/>
        <w:jc w:val="both"/>
        <w:rPr>
          <w:rFonts w:hint="eastAsia" w:ascii="黑体" w:hAnsi="黑体" w:eastAsia="黑体" w:cs="黑体"/>
          <w:i w:val="0"/>
          <w:iCs w:val="0"/>
          <w:color w:val="auto"/>
          <w:sz w:val="32"/>
          <w:szCs w:val="32"/>
          <w:highlight w:val="none"/>
          <w:shd w:val="clear" w:color="auto" w:fill="FFFFFF"/>
          <w:lang w:eastAsia="zh-CN"/>
        </w:rPr>
      </w:pPr>
    </w:p>
    <w:p w14:paraId="1DD9E875">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7ADFD35B">
      <w:pPr>
        <w:pStyle w:val="18"/>
        <w:shd w:val="clear" w:color="auto" w:fill="FFFFFF"/>
        <w:spacing w:beforeLines="50" w:beforeAutospacing="0" w:afterLines="50" w:afterAutospacing="0" w:line="580" w:lineRule="atLeast"/>
        <w:jc w:val="center"/>
        <w:rPr>
          <w:rFonts w:hint="eastAsia" w:ascii="黑体" w:hAnsi="黑体" w:eastAsia="黑体" w:cs="黑体"/>
          <w:i w:val="0"/>
          <w:iCs w:val="0"/>
          <w:color w:val="auto"/>
          <w:sz w:val="32"/>
          <w:szCs w:val="32"/>
          <w:highlight w:val="none"/>
          <w:shd w:val="clear" w:color="auto" w:fill="FFFFFF"/>
          <w:lang w:eastAsia="zh-CN"/>
        </w:rPr>
      </w:pPr>
    </w:p>
    <w:p w14:paraId="640F812C">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7BA11D09">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E8B2973">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p>
    <w:p w14:paraId="5D2A7F4D">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52ABC5F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3052BFD6">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435B958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6A87BB95">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2B5E450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6DAAB93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5E212FF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5D364B44">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5A495B7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6DD7B42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6A4F6C9">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51C50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1" w:hRule="atLeast"/>
          <w:tblHeader/>
        </w:trPr>
        <w:tc>
          <w:tcPr>
            <w:tcW w:w="815" w:type="dxa"/>
            <w:noWrap w:val="0"/>
            <w:vAlign w:val="center"/>
          </w:tcPr>
          <w:p w14:paraId="7B50B77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64BD2D7D">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30FF30E5">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57E790CF">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506E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44FA4C54">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09FF6A29">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7838EB45">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7C62C601">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3C204555">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5F2B0B4B">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b w:val="0"/>
                <w:bCs w:val="0"/>
                <w:i w:val="0"/>
                <w:iCs w:val="0"/>
                <w:color w:val="000000"/>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tc>
      </w:tr>
    </w:tbl>
    <w:p w14:paraId="40CDAE06">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342D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021FDF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787CDF1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635C723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5444BED8">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3D70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E5553BE">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095FD714">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08C8B715">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71AF583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3590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5EC4E4D3">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5EABDA4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18D6C628">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7D486013">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C0D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330AC208">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730F8AB5">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6757163D">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3662F8A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5EA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CAAF99B">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657C0F48">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28D532A5">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92EC13B">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222CD017">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41ACCFDE">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4537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0FA0978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5728DFC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623ABC2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50061090">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343E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69EC820">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9782EF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7236766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2C6C99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315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B7E712A">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3A6E4970">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12B697F5">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3AC320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0C3E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58CBC1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313B6346">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0A6F5346">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5915E0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18CB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6DB1FC4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68918883">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1B8736BA">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040308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C1B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76B4850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3CECCE01">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7FF9283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47CAD2B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bookmarkStart w:id="6" w:name="_GoBack"/>
            <w:bookmarkEnd w:id="6"/>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142A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E0FAAD6">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716D9F5C">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2ABDA7B5">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5C4A42F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5ABD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463DC1BB">
            <w:pPr>
              <w:spacing w:line="40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7</w:t>
            </w:r>
          </w:p>
        </w:tc>
        <w:tc>
          <w:tcPr>
            <w:tcW w:w="1357" w:type="dxa"/>
            <w:shd w:val="clear" w:color="auto" w:fill="auto"/>
            <w:noWrap w:val="0"/>
            <w:vAlign w:val="center"/>
          </w:tcPr>
          <w:p w14:paraId="7FBC12FE">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环境考评</w:t>
            </w:r>
          </w:p>
        </w:tc>
        <w:tc>
          <w:tcPr>
            <w:tcW w:w="1389" w:type="dxa"/>
            <w:shd w:val="clear" w:color="auto" w:fill="auto"/>
            <w:noWrap w:val="0"/>
            <w:vAlign w:val="center"/>
          </w:tcPr>
          <w:p w14:paraId="10ACA983">
            <w:pPr>
              <w:spacing w:line="40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highlight w:val="none"/>
                <w:lang w:val="en-US" w:eastAsia="zh-CN"/>
                <w14:textFill>
                  <w14:solidFill>
                    <w14:schemeClr w14:val="tx1"/>
                  </w14:solidFill>
                </w14:textFill>
              </w:rPr>
              <w:t>10分</w:t>
            </w:r>
          </w:p>
        </w:tc>
        <w:tc>
          <w:tcPr>
            <w:tcW w:w="6272" w:type="dxa"/>
            <w:shd w:val="clear" w:color="auto" w:fill="auto"/>
            <w:noWrap w:val="0"/>
            <w:vAlign w:val="center"/>
          </w:tcPr>
          <w:p w14:paraId="699DE77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经营场所内部</w:t>
            </w:r>
            <w:r>
              <w:rPr>
                <w:rFonts w:hint="eastAsia" w:ascii="新宋体" w:hAnsi="新宋体" w:eastAsia="新宋体" w:cs="新宋体"/>
                <w:color w:val="000000" w:themeColor="text1"/>
                <w:szCs w:val="21"/>
                <w:highlight w:val="none"/>
                <w:lang w:val="en-US" w:eastAsia="zh-CN"/>
                <w14:textFill>
                  <w14:solidFill>
                    <w14:schemeClr w14:val="tx1"/>
                  </w14:solidFill>
                </w14:textFill>
              </w:rPr>
              <w:t>分工是否明确</w:t>
            </w:r>
            <w:r>
              <w:rPr>
                <w:rFonts w:hint="eastAsia" w:ascii="新宋体" w:hAnsi="新宋体" w:eastAsia="新宋体" w:cs="新宋体"/>
                <w:color w:val="000000" w:themeColor="text1"/>
                <w:szCs w:val="21"/>
                <w:highlight w:val="none"/>
                <w:lang w:eastAsia="zh-CN"/>
                <w14:textFill>
                  <w14:solidFill>
                    <w14:schemeClr w14:val="tx1"/>
                  </w14:solidFill>
                </w14:textFill>
              </w:rPr>
              <w:t>、</w:t>
            </w:r>
            <w:r>
              <w:rPr>
                <w:rFonts w:hint="eastAsia" w:ascii="新宋体" w:hAnsi="新宋体" w:eastAsia="新宋体" w:cs="新宋体"/>
                <w:color w:val="000000" w:themeColor="text1"/>
                <w:szCs w:val="21"/>
                <w:highlight w:val="none"/>
                <w:lang w:val="en-US" w:eastAsia="zh-CN"/>
                <w14:textFill>
                  <w14:solidFill>
                    <w14:schemeClr w14:val="tx1"/>
                  </w14:solidFill>
                </w14:textFill>
              </w:rPr>
              <w:t>经营场所及</w:t>
            </w:r>
            <w:r>
              <w:rPr>
                <w:rFonts w:hint="eastAsia" w:ascii="新宋体" w:hAnsi="新宋体" w:eastAsia="新宋体" w:cs="新宋体"/>
                <w:color w:val="000000" w:themeColor="text1"/>
                <w:szCs w:val="21"/>
                <w:highlight w:val="none"/>
                <w:lang w:eastAsia="zh-CN"/>
                <w14:textFill>
                  <w14:solidFill>
                    <w14:schemeClr w14:val="tx1"/>
                  </w14:solidFill>
                </w14:textFill>
              </w:rPr>
              <w:t>周边环境</w:t>
            </w:r>
            <w:r>
              <w:rPr>
                <w:rFonts w:hint="eastAsia" w:ascii="新宋体" w:hAnsi="新宋体" w:eastAsia="新宋体" w:cs="新宋体"/>
                <w:color w:val="000000" w:themeColor="text1"/>
                <w:szCs w:val="21"/>
                <w:highlight w:val="none"/>
                <w:lang w:val="en-US" w:eastAsia="zh-CN"/>
                <w14:textFill>
                  <w14:solidFill>
                    <w14:schemeClr w14:val="tx1"/>
                  </w14:solidFill>
                </w14:textFill>
              </w:rPr>
              <w:t>洁净</w:t>
            </w:r>
            <w:r>
              <w:rPr>
                <w:rFonts w:hint="eastAsia" w:ascii="新宋体" w:hAnsi="新宋体" w:eastAsia="新宋体" w:cs="新宋体"/>
                <w:color w:val="000000" w:themeColor="text1"/>
                <w:szCs w:val="21"/>
                <w:highlight w:val="none"/>
                <w:lang w:eastAsia="zh-CN"/>
                <w14:textFill>
                  <w14:solidFill>
                    <w14:schemeClr w14:val="tx1"/>
                  </w14:solidFill>
                </w14:textFill>
              </w:rPr>
              <w:t>程度情况评分。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2FABD2E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000000" w:themeColor="text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（优：</w:t>
            </w:r>
            <w:r>
              <w:rPr>
                <w:rFonts w:hint="eastAsia" w:ascii="新宋体" w:hAnsi="新宋体" w:eastAsia="新宋体" w:cs="新宋体"/>
                <w:color w:val="000000" w:themeColor="text1"/>
                <w:szCs w:val="21"/>
                <w:highlight w:val="none"/>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highlight w:val="none"/>
                <w:lang w:eastAsia="zh-CN"/>
                <w14:textFill>
                  <w14:solidFill>
                    <w14:schemeClr w14:val="tx1"/>
                  </w14:solidFill>
                </w14:textFill>
              </w:rPr>
              <w:t>）</w:t>
            </w:r>
          </w:p>
          <w:p w14:paraId="0047894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val="en-US" w:eastAsia="zh-CN"/>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w:t>
            </w:r>
            <w:r>
              <w:rPr>
                <w:rFonts w:hint="eastAsia" w:ascii="新宋体" w:hAnsi="新宋体" w:eastAsia="新宋体" w:cs="新宋体"/>
                <w:b/>
                <w:bCs/>
                <w:color w:val="000000" w:themeColor="text1"/>
                <w:szCs w:val="21"/>
                <w:highlight w:val="none"/>
                <w:lang w:eastAsia="zh-CN"/>
                <w14:textFill>
                  <w14:solidFill>
                    <w14:schemeClr w14:val="tx1"/>
                  </w14:solidFill>
                </w14:textFill>
              </w:rPr>
              <w:t>①</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比选申请人须列拟派人员名单，格式自拟，拟派人员名单须含姓名、分工情况、联系电话等；</w:t>
            </w:r>
            <w:r>
              <w:rPr>
                <w:rFonts w:hint="eastAsia" w:ascii="新宋体" w:hAnsi="新宋体" w:eastAsia="新宋体" w:cs="新宋体"/>
                <w:b/>
                <w:bCs/>
                <w:color w:val="000000" w:themeColor="text1"/>
                <w:szCs w:val="21"/>
                <w:highlight w:val="none"/>
                <w:lang w:eastAsia="zh-CN"/>
                <w14:textFill>
                  <w14:solidFill>
                    <w14:schemeClr w14:val="tx1"/>
                  </w14:solidFill>
                </w14:textFill>
              </w:rPr>
              <w:t>②</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人的</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场所须提供产权证明文件（所有人应为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人），或租赁合同（租赁单位应当为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，租赁合同剩余时间须不少于6个月</w:t>
            </w:r>
            <w:r>
              <w:rPr>
                <w:rFonts w:hint="eastAsia" w:ascii="新宋体" w:hAnsi="新宋体" w:eastAsia="新宋体" w:cs="新宋体"/>
                <w:b/>
                <w:bCs/>
                <w:color w:val="000000" w:themeColor="text1"/>
                <w:szCs w:val="21"/>
                <w:highlight w:val="none"/>
                <w:lang w:eastAsia="zh-CN"/>
                <w14:textFill>
                  <w14:solidFill>
                    <w14:schemeClr w14:val="tx1"/>
                  </w14:solidFill>
                </w14:textFill>
              </w:rPr>
              <w:t>）；</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begin"/>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instrText xml:space="preserve"> EQ \o\ac(○,3)</w:instrTex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end"/>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场所提供实地图片并明确每个场所</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面积和</w:t>
            </w:r>
            <w:r>
              <w:rPr>
                <w:rFonts w:hint="eastAsia" w:ascii="新宋体" w:hAnsi="新宋体" w:eastAsia="新宋体" w:cs="新宋体"/>
                <w:b/>
                <w:bCs/>
                <w:color w:val="000000" w:themeColor="text1"/>
                <w:szCs w:val="21"/>
                <w:highlight w:val="none"/>
                <w:lang w:eastAsia="zh-CN"/>
                <w14:textFill>
                  <w14:solidFill>
                    <w14:schemeClr w14:val="tx1"/>
                  </w14:solidFill>
                </w14:textFill>
              </w:rPr>
              <w:t>使用功能</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，周边环境洁净程度须提供经营场地周边环境照片。</w:t>
            </w:r>
          </w:p>
        </w:tc>
      </w:tr>
      <w:tr w14:paraId="787C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7BE96B2E">
            <w:pPr>
              <w:spacing w:line="40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8</w:t>
            </w:r>
          </w:p>
        </w:tc>
        <w:tc>
          <w:tcPr>
            <w:tcW w:w="1357" w:type="dxa"/>
            <w:shd w:val="clear" w:color="auto" w:fill="auto"/>
            <w:noWrap w:val="0"/>
            <w:vAlign w:val="center"/>
          </w:tcPr>
          <w:p w14:paraId="7AB6676B">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货物储存</w:t>
            </w:r>
          </w:p>
        </w:tc>
        <w:tc>
          <w:tcPr>
            <w:tcW w:w="1389" w:type="dxa"/>
            <w:shd w:val="clear" w:color="auto" w:fill="auto"/>
            <w:noWrap w:val="0"/>
            <w:vAlign w:val="center"/>
          </w:tcPr>
          <w:p w14:paraId="1E72C7A1">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10</w:t>
            </w:r>
            <w:r>
              <w:rPr>
                <w:rFonts w:hint="eastAsia" w:ascii="新宋体" w:hAnsi="新宋体" w:eastAsia="新宋体" w:cs="新宋体"/>
                <w:color w:val="000000" w:themeColor="text1"/>
                <w:szCs w:val="21"/>
                <w14:textFill>
                  <w14:solidFill>
                    <w14:schemeClr w14:val="tx1"/>
                  </w14:solidFill>
                </w14:textFill>
              </w:rPr>
              <w:t>分</w:t>
            </w:r>
          </w:p>
        </w:tc>
        <w:tc>
          <w:tcPr>
            <w:tcW w:w="6272" w:type="dxa"/>
            <w:shd w:val="clear" w:color="auto" w:fill="auto"/>
            <w:noWrap w:val="0"/>
            <w:vAlign w:val="center"/>
          </w:tcPr>
          <w:p w14:paraId="6795678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货物储存是否分类，是否有序。</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5F925644">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val="en-US"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（优：</w:t>
            </w:r>
            <w:r>
              <w:rPr>
                <w:rFonts w:hint="eastAsia" w:ascii="新宋体" w:hAnsi="新宋体" w:eastAsia="新宋体" w:cs="新宋体"/>
                <w:color w:val="000000" w:themeColor="text1"/>
                <w:szCs w:val="21"/>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lang w:eastAsia="zh-CN"/>
                <w14:textFill>
                  <w14:solidFill>
                    <w14:schemeClr w14:val="tx1"/>
                  </w14:solidFill>
                </w14:textFill>
              </w:rPr>
              <w:t>）</w:t>
            </w:r>
          </w:p>
          <w:p w14:paraId="0262A3CD">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注：【比选申请人须提供货物储存的照片、有效的产权证（产权人为比选申请人）或场所租赁合同（租赁单位应当为比选申请人，租赁合同剩余时间须不少于6个月），否则不得分】</w:t>
            </w:r>
          </w:p>
        </w:tc>
      </w:tr>
    </w:tbl>
    <w:p w14:paraId="3B43EAE5">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070CF62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7068C6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9417A7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64180E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72E7F9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DC6ECC">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97D445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46FD26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122688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9D9712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D51423E">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999A46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21FC0D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006EAE9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97862E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D589CBF">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BC6FB3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F8BBCC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B298F70">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62CFF279">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highlight w:val="none"/>
        </w:rPr>
      </w:pPr>
      <w:r>
        <w:rPr>
          <w:rFonts w:hint="eastAsia" w:ascii="方正小标宋简体" w:hAnsi="方正小标宋简体" w:eastAsia="方正小标宋简体" w:cs="方正小标宋简体"/>
          <w:b/>
          <w:bCs/>
          <w:color w:val="000000"/>
          <w:spacing w:val="0"/>
          <w:w w:val="100"/>
          <w:position w:val="0"/>
          <w:sz w:val="30"/>
          <w:szCs w:val="30"/>
          <w:highlight w:val="none"/>
          <w:lang w:eastAsia="zh-CN"/>
        </w:rPr>
        <w:t>水果类</w:t>
      </w: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食材</w:t>
      </w:r>
      <w:r>
        <w:rPr>
          <w:rFonts w:hint="eastAsia" w:ascii="方正小标宋简体" w:hAnsi="方正小标宋简体" w:eastAsia="方正小标宋简体" w:cs="方正小标宋简体"/>
          <w:b/>
          <w:bCs/>
          <w:color w:val="000000"/>
          <w:spacing w:val="0"/>
          <w:w w:val="100"/>
          <w:position w:val="0"/>
          <w:sz w:val="30"/>
          <w:szCs w:val="30"/>
          <w:highlight w:val="none"/>
        </w:rPr>
        <w:t>采购协议</w:t>
      </w:r>
    </w:p>
    <w:p w14:paraId="1B6BAC2F">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000000"/>
          <w:spacing w:val="0"/>
          <w:w w:val="100"/>
          <w:position w:val="0"/>
          <w:sz w:val="24"/>
          <w:szCs w:val="24"/>
          <w:highlight w:val="none"/>
        </w:rPr>
      </w:pPr>
    </w:p>
    <w:p w14:paraId="1AC488C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甲方：三明明城酒店有限公司</w:t>
      </w:r>
    </w:p>
    <w:p w14:paraId="727F9E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乙方：</w:t>
      </w:r>
    </w:p>
    <w:p w14:paraId="679EA20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p>
    <w:p w14:paraId="0DAB989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甲乙双方本着公平公正、诚实守信的原则，根据《中华人民共和国民法典》之规定，经协商一致，就一定时间内乙 方向甲方供应产品达成如下合同条款，以资共守：</w:t>
      </w:r>
    </w:p>
    <w:p w14:paraId="49D637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rPr>
        <w:t>一、</w:t>
      </w:r>
      <w:r>
        <w:rPr>
          <w:rFonts w:hint="eastAsia" w:ascii="黑体" w:hAnsi="黑体" w:eastAsia="黑体" w:cs="黑体"/>
          <w:color w:val="000000"/>
          <w:spacing w:val="0"/>
          <w:w w:val="100"/>
          <w:position w:val="0"/>
          <w:sz w:val="28"/>
          <w:szCs w:val="28"/>
          <w:lang w:eastAsia="zh-CN"/>
        </w:rPr>
        <w:t>甲</w:t>
      </w:r>
      <w:r>
        <w:rPr>
          <w:rFonts w:hint="eastAsia" w:ascii="黑体" w:hAnsi="黑体" w:eastAsia="黑体" w:cs="黑体"/>
          <w:color w:val="000000"/>
          <w:spacing w:val="0"/>
          <w:w w:val="100"/>
          <w:position w:val="0"/>
          <w:sz w:val="28"/>
          <w:szCs w:val="28"/>
        </w:rPr>
        <w:t>乙双方交易程序</w:t>
      </w:r>
    </w:p>
    <w:p w14:paraId="5106A59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1、本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生效后，甲方根据经营需求</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于每日</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点左右向乙方发送次日订单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订单需注明商品的名称、品种（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牌）、规格、计量单位、数</w:t>
      </w:r>
      <w:r>
        <w:rPr>
          <w:rFonts w:hint="eastAsia" w:ascii="宋体" w:hAnsi="宋体" w:eastAsia="仿宋_GB2312" w:cstheme="minorEastAsia"/>
          <w:color w:val="000000"/>
          <w:spacing w:val="0"/>
          <w:w w:val="100"/>
          <w:position w:val="0"/>
          <w:sz w:val="28"/>
          <w:szCs w:val="28"/>
          <w:lang w:val="en-US" w:eastAsia="zh-CN"/>
        </w:rPr>
        <w:t>量</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position w:val="0"/>
          <w:sz w:val="28"/>
          <w:szCs w:val="28"/>
        </w:rPr>
        <w:t>如运送途中发生交通堵塞等临时突发状况，乙方应及时</w:t>
      </w:r>
      <w:r>
        <w:rPr>
          <w:rFonts w:hint="eastAsia" w:ascii="宋体" w:hAnsi="宋体" w:eastAsia="仿宋_GB2312" w:cstheme="minorEastAsia"/>
          <w:color w:val="000000"/>
          <w:spacing w:val="0"/>
          <w:w w:val="100"/>
          <w:position w:val="0"/>
          <w:sz w:val="28"/>
          <w:szCs w:val="28"/>
          <w:lang w:eastAsia="zh-CN"/>
        </w:rPr>
        <w:t>解决并在事发后半小时内送达。</w:t>
      </w:r>
    </w:p>
    <w:p w14:paraId="1C9DFAF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2、交货方式：由乙方负责送货上门至甲方指定地点（</w:t>
      </w:r>
      <w:r>
        <w:rPr>
          <w:rFonts w:hint="eastAsia" w:eastAsia="仿宋_GB2312" w:cstheme="minorEastAsia"/>
          <w:color w:val="000000"/>
          <w:spacing w:val="0"/>
          <w:w w:val="100"/>
          <w:position w:val="0"/>
          <w:sz w:val="28"/>
          <w:szCs w:val="28"/>
          <w:lang w:val="en-US" w:eastAsia="zh-CN"/>
        </w:rPr>
        <w:t>新</w:t>
      </w:r>
      <w:r>
        <w:rPr>
          <w:rFonts w:hint="eastAsia" w:ascii="宋体" w:hAnsi="宋体" w:eastAsia="仿宋_GB2312" w:cstheme="minorEastAsia"/>
          <w:color w:val="000000"/>
          <w:spacing w:val="0"/>
          <w:w w:val="100"/>
          <w:position w:val="0"/>
          <w:sz w:val="28"/>
          <w:szCs w:val="28"/>
          <w:lang w:val="en-US" w:eastAsia="zh-CN"/>
        </w:rPr>
        <w:t>城酒店、沙县运营中心、城发食堂）</w:t>
      </w:r>
      <w:r>
        <w:rPr>
          <w:rFonts w:hint="eastAsia" w:ascii="宋体" w:hAnsi="宋体" w:eastAsia="仿宋_GB2312" w:cstheme="minorEastAsia"/>
          <w:color w:val="000000"/>
          <w:spacing w:val="0"/>
          <w:w w:val="100"/>
          <w:position w:val="0"/>
          <w:sz w:val="28"/>
          <w:szCs w:val="28"/>
          <w:lang w:eastAsia="zh-CN"/>
        </w:rPr>
        <w:t>。</w:t>
      </w:r>
    </w:p>
    <w:p w14:paraId="056011B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3、交货时间、地点：</w:t>
      </w:r>
      <w:r>
        <w:rPr>
          <w:rFonts w:hint="eastAsia" w:ascii="宋体" w:hAnsi="宋体" w:eastAsia="仿宋_GB2312" w:cstheme="minorEastAsia"/>
          <w:color w:val="000000"/>
          <w:spacing w:val="0"/>
          <w:w w:val="100"/>
          <w:position w:val="0"/>
          <w:sz w:val="28"/>
          <w:szCs w:val="28"/>
        </w:rPr>
        <w:t>乙方每日上午</w:t>
      </w:r>
      <w:r>
        <w:rPr>
          <w:rFonts w:hint="eastAsia" w:ascii="宋体" w:hAnsi="宋体" w:eastAsia="仿宋_GB2312" w:cstheme="minorEastAsia"/>
          <w:color w:val="000000"/>
          <w:spacing w:val="0"/>
          <w:w w:val="100"/>
          <w:position w:val="0"/>
          <w:sz w:val="28"/>
          <w:szCs w:val="28"/>
          <w:lang w:val="en-US" w:eastAsia="zh-CN"/>
        </w:rPr>
        <w:t>7</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30</w:t>
      </w:r>
      <w:r>
        <w:rPr>
          <w:rFonts w:hint="eastAsia" w:ascii="宋体" w:hAnsi="宋体" w:eastAsia="仿宋_GB2312" w:cstheme="minorEastAsia"/>
          <w:color w:val="000000"/>
          <w:spacing w:val="0"/>
          <w:w w:val="100"/>
          <w:position w:val="0"/>
          <w:sz w:val="28"/>
          <w:szCs w:val="28"/>
        </w:rPr>
        <w:t>前供货至</w:t>
      </w:r>
      <w:r>
        <w:rPr>
          <w:rFonts w:hint="eastAsia" w:ascii="宋体" w:hAnsi="宋体" w:eastAsia="仿宋_GB2312" w:cstheme="minorEastAsia"/>
          <w:color w:val="000000"/>
          <w:spacing w:val="0"/>
          <w:w w:val="100"/>
          <w:position w:val="0"/>
          <w:sz w:val="28"/>
          <w:szCs w:val="28"/>
          <w:lang w:val="en-US" w:eastAsia="zh-CN"/>
        </w:rPr>
        <w:t>甲方指定地点，并确保食材新鲜、</w:t>
      </w:r>
      <w:r>
        <w:rPr>
          <w:rFonts w:hint="eastAsia" w:eastAsia="仿宋_GB2312" w:cstheme="minorEastAsia"/>
          <w:color w:val="000000"/>
          <w:spacing w:val="0"/>
          <w:w w:val="100"/>
          <w:position w:val="0"/>
          <w:sz w:val="28"/>
          <w:szCs w:val="28"/>
          <w:lang w:val="en-US" w:eastAsia="zh-CN"/>
        </w:rPr>
        <w:t>干净卫生、无破损</w:t>
      </w:r>
      <w:r>
        <w:rPr>
          <w:rFonts w:hint="eastAsia" w:ascii="宋体" w:hAnsi="宋体" w:eastAsia="仿宋_GB2312" w:cstheme="minorEastAsia"/>
          <w:color w:val="000000"/>
          <w:spacing w:val="0"/>
          <w:w w:val="100"/>
          <w:position w:val="0"/>
          <w:sz w:val="28"/>
          <w:szCs w:val="28"/>
          <w:lang w:val="en-US" w:eastAsia="zh-CN"/>
        </w:rPr>
        <w:t>。履行地点：甲方指定地点（</w:t>
      </w:r>
      <w:r>
        <w:rPr>
          <w:rFonts w:hint="eastAsia" w:eastAsia="仿宋_GB2312" w:cstheme="minorEastAsia"/>
          <w:color w:val="000000"/>
          <w:spacing w:val="0"/>
          <w:w w:val="100"/>
          <w:position w:val="0"/>
          <w:sz w:val="28"/>
          <w:szCs w:val="28"/>
          <w:lang w:val="en-US" w:eastAsia="zh-CN"/>
        </w:rPr>
        <w:t>新</w:t>
      </w:r>
      <w:r>
        <w:rPr>
          <w:rFonts w:hint="eastAsia" w:ascii="宋体" w:hAnsi="宋体" w:eastAsia="仿宋_GB2312" w:cstheme="minorEastAsia"/>
          <w:color w:val="000000"/>
          <w:spacing w:val="0"/>
          <w:w w:val="100"/>
          <w:position w:val="0"/>
          <w:sz w:val="28"/>
          <w:szCs w:val="28"/>
          <w:lang w:val="en-US" w:eastAsia="zh-CN"/>
        </w:rPr>
        <w:t>城酒店、沙县运营中心、城发食堂）</w:t>
      </w:r>
    </w:p>
    <w:p w14:paraId="1BF962C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4.指定收货人：张小芳（三元区） 联系电话：15980761346；谢婷婷（沙县区），联系电话：13616951659      </w:t>
      </w:r>
      <w:r>
        <w:rPr>
          <w:rFonts w:hint="eastAsia" w:ascii="宋体" w:hAnsi="宋体" w:eastAsia="仿宋_GB2312" w:cstheme="minorEastAsia"/>
          <w:color w:val="000000"/>
          <w:spacing w:val="0"/>
          <w:w w:val="100"/>
          <w:position w:val="0"/>
          <w:sz w:val="28"/>
          <w:szCs w:val="28"/>
        </w:rPr>
        <w:t xml:space="preserve">     </w:t>
      </w:r>
    </w:p>
    <w:p w14:paraId="2C4661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商品送达后由</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方使用部门、仓管员对按照</w:t>
      </w:r>
      <w:r>
        <w:rPr>
          <w:rFonts w:hint="eastAsia" w:ascii="宋体" w:hAnsi="宋体" w:eastAsia="仿宋_GB2312" w:cstheme="minorEastAsia"/>
          <w:color w:val="000000"/>
          <w:spacing w:val="0"/>
          <w:w w:val="100"/>
          <w:position w:val="0"/>
          <w:sz w:val="28"/>
          <w:szCs w:val="28"/>
        </w:rPr>
        <w:t>甲方发送</w:t>
      </w:r>
      <w:r>
        <w:rPr>
          <w:rFonts w:hint="eastAsia" w:ascii="宋体" w:hAnsi="宋体" w:eastAsia="仿宋_GB2312" w:cstheme="minorEastAsia"/>
          <w:color w:val="000000"/>
          <w:spacing w:val="0"/>
          <w:w w:val="100"/>
          <w:position w:val="0"/>
          <w:sz w:val="28"/>
          <w:szCs w:val="28"/>
          <w:lang w:val="en-US" w:eastAsia="zh-CN"/>
        </w:rPr>
        <w:t>的</w:t>
      </w:r>
      <w:r>
        <w:rPr>
          <w:rFonts w:hint="eastAsia" w:ascii="宋体" w:hAnsi="宋体" w:eastAsia="仿宋_GB2312" w:cstheme="minorEastAsia"/>
          <w:color w:val="000000"/>
          <w:spacing w:val="0"/>
          <w:w w:val="100"/>
          <w:position w:val="0"/>
          <w:sz w:val="28"/>
          <w:szCs w:val="28"/>
        </w:rPr>
        <w:t>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包含</w:t>
      </w:r>
      <w:r>
        <w:rPr>
          <w:rFonts w:hint="eastAsia" w:ascii="宋体" w:hAnsi="宋体" w:eastAsia="仿宋_GB2312" w:cstheme="minorEastAsia"/>
          <w:color w:val="000000"/>
          <w:spacing w:val="0"/>
          <w:w w:val="100"/>
          <w:position w:val="0"/>
          <w:sz w:val="28"/>
          <w:szCs w:val="28"/>
        </w:rPr>
        <w:t>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对商品的品质、数量等进行验收，并由甲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双方共同在送货单上签字确认。</w:t>
      </w:r>
    </w:p>
    <w:p w14:paraId="36CC2C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送货</w:t>
      </w:r>
      <w:r>
        <w:rPr>
          <w:rFonts w:hint="eastAsia" w:ascii="宋体" w:hAnsi="宋体" w:eastAsia="仿宋_GB2312" w:cstheme="minorEastAsia"/>
          <w:color w:val="000000"/>
          <w:spacing w:val="0"/>
          <w:w w:val="100"/>
          <w:position w:val="0"/>
          <w:sz w:val="28"/>
          <w:szCs w:val="28"/>
          <w:lang w:val="en-US" w:eastAsia="zh-CN"/>
        </w:rPr>
        <w:t>的数量按</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方的采购订单数量为准。食材</w:t>
      </w:r>
      <w:r>
        <w:rPr>
          <w:rFonts w:hint="eastAsia" w:ascii="宋体" w:hAnsi="宋体" w:eastAsia="仿宋_GB2312" w:cstheme="minorEastAsia"/>
          <w:color w:val="000000"/>
          <w:spacing w:val="0"/>
          <w:w w:val="100"/>
          <w:position w:val="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rPr>
        <w:t>小时之内按订单所列数量补齐；</w:t>
      </w:r>
    </w:p>
    <w:p w14:paraId="35CD05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0548A9D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8、甲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双方对商品的数量、品质等问题的异议期为：甲方对数量的异议期为收货后7天内，对质量的异议期为收货后3个月内。</w:t>
      </w:r>
    </w:p>
    <w:p w14:paraId="500EAC8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二、商品的约定条款</w:t>
      </w:r>
    </w:p>
    <w:p w14:paraId="1641265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1、商品质量：乙方向甲方提供的商品</w:t>
      </w:r>
      <w:r>
        <w:rPr>
          <w:rFonts w:hint="eastAsia" w:ascii="宋体" w:hAnsi="宋体" w:eastAsia="仿宋_GB2312" w:cstheme="minorEastAsia"/>
          <w:color w:val="000000"/>
          <w:spacing w:val="0"/>
          <w:w w:val="100"/>
          <w:position w:val="0"/>
          <w:sz w:val="28"/>
          <w:szCs w:val="28"/>
        </w:rPr>
        <w:t>必须符合《中华人民共和国食品安全法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中华人民共和国农产品质量安全法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中华人民共和国产品质量法》及国家行业标</w:t>
      </w:r>
      <w:r>
        <w:rPr>
          <w:rFonts w:hint="eastAsia" w:ascii="Calibri" w:hAnsi="Calibri" w:eastAsia="宋体" w:cs="宋体"/>
          <w:color w:val="auto"/>
          <w:kern w:val="2"/>
          <w:sz w:val="28"/>
          <w:szCs w:val="28"/>
          <w:highlight w:val="none"/>
          <w:u w:val="none"/>
          <w:shd w:val="clear"/>
          <w:lang w:val="en-US" w:eastAsia="zh-CN" w:bidi="ar-SA"/>
        </w:rPr>
        <w:t>准的有关规</w:t>
      </w:r>
      <w:r>
        <w:rPr>
          <w:rFonts w:hint="eastAsia" w:ascii="宋体" w:hAnsi="宋体" w:eastAsia="仿宋_GB2312" w:cstheme="minorEastAsia"/>
          <w:color w:val="000000"/>
          <w:spacing w:val="0"/>
          <w:w w:val="100"/>
          <w:position w:val="0"/>
          <w:sz w:val="28"/>
          <w:szCs w:val="28"/>
        </w:rPr>
        <w:t>定，供应的货物应留有三分之二（含）以上的保质期限，货物验收实行索证制度。</w:t>
      </w:r>
    </w:p>
    <w:p w14:paraId="2A340683">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1.1</w:t>
      </w:r>
      <w:r>
        <w:rPr>
          <w:rFonts w:hint="default" w:ascii="宋体" w:hAnsi="宋体" w:eastAsia="仿宋_GB2312" w:cstheme="minorEastAsia"/>
          <w:color w:val="000000"/>
          <w:spacing w:val="0"/>
          <w:w w:val="100"/>
          <w:kern w:val="2"/>
          <w:position w:val="0"/>
          <w:sz w:val="28"/>
          <w:szCs w:val="28"/>
          <w:u w:val="none"/>
          <w:shd w:val="clear" w:color="auto" w:fill="auto"/>
          <w:lang w:val="en-US" w:eastAsia="zh-CN" w:bidi="zh-TW"/>
        </w:rPr>
        <w:t>水</w:t>
      </w:r>
      <w:r>
        <w:rPr>
          <w:rFonts w:hint="default" w:ascii="宋体" w:hAnsi="宋体" w:eastAsia="仿宋_GB2312" w:cstheme="minorEastAsia"/>
          <w:color w:val="000000"/>
          <w:spacing w:val="0"/>
          <w:w w:val="100"/>
          <w:kern w:val="2"/>
          <w:position w:val="0"/>
          <w:sz w:val="28"/>
          <w:szCs w:val="28"/>
          <w:u w:val="none"/>
          <w:shd w:val="clear" w:color="auto" w:fill="auto"/>
          <w:lang w:val="zh-TW" w:eastAsia="zh-CN" w:bidi="zh-TW"/>
        </w:rPr>
        <w:t>果：新鲜、无腐烂、无发霉、无擦伤、无碰伤、无干瘪，大小均匀，具有该产品应有的色泽和水果香味，不得过熟或欠熟</w:t>
      </w:r>
      <w:r>
        <w:rPr>
          <w:rFonts w:hint="eastAsia" w:ascii="宋体" w:hAnsi="宋体" w:eastAsia="仿宋_GB2312" w:cstheme="minorEastAsia"/>
          <w:color w:val="000000"/>
          <w:spacing w:val="0"/>
          <w:w w:val="100"/>
          <w:kern w:val="2"/>
          <w:position w:val="0"/>
          <w:sz w:val="28"/>
          <w:szCs w:val="28"/>
          <w:u w:val="none"/>
          <w:shd w:val="clear" w:color="auto" w:fill="auto"/>
          <w:lang w:val="zh-TW" w:eastAsia="zh-CN" w:bidi="zh-TW"/>
        </w:rPr>
        <w:t>。</w:t>
      </w:r>
    </w:p>
    <w:p w14:paraId="3A502B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kern w:val="0"/>
          <w:sz w:val="28"/>
          <w:szCs w:val="28"/>
          <w:highlight w:val="none"/>
        </w:rPr>
      </w:pPr>
      <w:r>
        <w:rPr>
          <w:rFonts w:hint="eastAsia" w:eastAsia="仿宋_GB2312" w:cstheme="minorEastAsia"/>
          <w:color w:val="000000"/>
          <w:spacing w:val="0"/>
          <w:w w:val="100"/>
          <w:position w:val="0"/>
          <w:sz w:val="28"/>
          <w:szCs w:val="28"/>
          <w:lang w:val="en-US" w:eastAsia="zh-CN"/>
        </w:rPr>
        <w:t>1.2</w:t>
      </w:r>
      <w:r>
        <w:rPr>
          <w:rFonts w:hint="eastAsia" w:ascii="宋体" w:hAnsi="宋体" w:eastAsia="仿宋_GB2312" w:cstheme="minorEastAsia"/>
          <w:color w:val="000000"/>
          <w:spacing w:val="0"/>
          <w:w w:val="100"/>
          <w:position w:val="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position w:val="0"/>
          <w:sz w:val="28"/>
          <w:szCs w:val="28"/>
          <w:lang w:val="en-US" w:eastAsia="zh-CN"/>
        </w:rPr>
        <w:t>及</w:t>
      </w:r>
      <w:r>
        <w:rPr>
          <w:rFonts w:hint="eastAsia" w:ascii="宋体" w:hAnsi="宋体" w:eastAsia="仿宋_GB2312" w:cstheme="minorEastAsia"/>
          <w:color w:val="000000"/>
          <w:spacing w:val="0"/>
          <w:w w:val="100"/>
          <w:position w:val="0"/>
          <w:sz w:val="28"/>
          <w:szCs w:val="28"/>
        </w:rPr>
        <w:t>国家行业标准的有关规定</w:t>
      </w:r>
      <w:r>
        <w:rPr>
          <w:rFonts w:hint="eastAsia" w:ascii="宋体" w:hAnsi="宋体" w:eastAsia="仿宋_GB2312" w:cstheme="minorEastAsia"/>
          <w:color w:val="000000"/>
          <w:spacing w:val="0"/>
          <w:w w:val="100"/>
          <w:position w:val="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position w:val="0"/>
          <w:sz w:val="28"/>
          <w:szCs w:val="28"/>
          <w:lang w:val="en-US" w:eastAsia="zh-CN"/>
        </w:rPr>
        <w:t>应</w:t>
      </w:r>
      <w:r>
        <w:rPr>
          <w:rFonts w:hint="eastAsia" w:ascii="宋体" w:hAnsi="宋体" w:eastAsia="仿宋_GB2312" w:cstheme="minorEastAsia"/>
          <w:color w:val="000000"/>
          <w:spacing w:val="0"/>
          <w:w w:val="100"/>
          <w:position w:val="0"/>
          <w:sz w:val="28"/>
          <w:szCs w:val="28"/>
          <w:lang w:eastAsia="zh-CN"/>
        </w:rPr>
        <w:t>承担</w:t>
      </w:r>
      <w:r>
        <w:rPr>
          <w:rFonts w:hint="eastAsia" w:ascii="宋体" w:hAnsi="宋体" w:eastAsia="仿宋_GB2312" w:cstheme="minorEastAsia"/>
          <w:color w:val="000000"/>
          <w:spacing w:val="0"/>
          <w:w w:val="100"/>
          <w:position w:val="0"/>
          <w:sz w:val="28"/>
          <w:szCs w:val="28"/>
          <w:lang w:val="en-US" w:eastAsia="zh-CN"/>
        </w:rPr>
        <w:t>相应的</w:t>
      </w:r>
      <w:r>
        <w:rPr>
          <w:rFonts w:hint="eastAsia" w:ascii="宋体" w:hAnsi="宋体" w:eastAsia="仿宋_GB2312" w:cstheme="minorEastAsia"/>
          <w:color w:val="000000"/>
          <w:spacing w:val="0"/>
          <w:w w:val="100"/>
          <w:position w:val="0"/>
          <w:sz w:val="28"/>
          <w:szCs w:val="28"/>
          <w:lang w:eastAsia="zh-CN"/>
        </w:rPr>
        <w:t>经济赔偿责任及法律责任（</w:t>
      </w:r>
      <w:r>
        <w:rPr>
          <w:rFonts w:hint="eastAsia" w:ascii="宋体" w:hAnsi="宋体" w:eastAsia="仿宋_GB2312" w:cstheme="minorEastAsia"/>
          <w:color w:val="000000"/>
          <w:spacing w:val="0"/>
          <w:w w:val="100"/>
          <w:position w:val="0"/>
          <w:sz w:val="28"/>
          <w:szCs w:val="28"/>
          <w:lang w:val="en-US" w:eastAsia="zh-CN"/>
        </w:rPr>
        <w:t>包括由此造成甲方一切损失的赔偿</w:t>
      </w:r>
      <w:r>
        <w:rPr>
          <w:rFonts w:hint="eastAsia" w:ascii="宋体" w:hAnsi="宋体" w:eastAsia="仿宋_GB2312" w:cstheme="minorEastAsia"/>
          <w:color w:val="000000"/>
          <w:spacing w:val="0"/>
          <w:w w:val="100"/>
          <w:position w:val="0"/>
          <w:sz w:val="28"/>
          <w:szCs w:val="28"/>
          <w:lang w:eastAsia="zh-CN"/>
        </w:rPr>
        <w:t>）。</w:t>
      </w:r>
    </w:p>
    <w:p w14:paraId="5BF5D5C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2、商品的数量和计量单位：供货商品的数量以甲方向乙方发出的订单为准，计量单位采用国家规定的计量单位。</w:t>
      </w:r>
    </w:p>
    <w:p w14:paraId="47FE44B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3、供货价格及结算：</w:t>
      </w:r>
    </w:p>
    <w:p w14:paraId="78FF409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3.1在合同有效期内，乙方需按甲方定价周期向甲方提供本地大型商超（夏</w:t>
      </w:r>
    </w:p>
    <w:p w14:paraId="64DD2C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right="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商百货、好多多、大润发）及专业市场批发价，同时乙方提供的各类食材应符合甲方报价清单所列的品牌、规格、价格，如有变动应在甲乙双方达成共识的基础上，乙方可提供同等价位，同等品质的商品进行替换</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甲方指定专人对乙方的供货价进行核价，甲方根据实际市场情况每</w:t>
      </w:r>
      <w:r>
        <w:rPr>
          <w:rFonts w:hint="eastAsia" w:eastAsia="仿宋_GB2312" w:cstheme="minorEastAsia"/>
          <w:color w:val="000000"/>
          <w:spacing w:val="0"/>
          <w:w w:val="100"/>
          <w:position w:val="0"/>
          <w:sz w:val="28"/>
          <w:szCs w:val="28"/>
          <w:lang w:val="en-US" w:eastAsia="zh-CN"/>
        </w:rPr>
        <w:t>半</w:t>
      </w:r>
      <w:r>
        <w:rPr>
          <w:rFonts w:hint="eastAsia" w:ascii="宋体" w:hAnsi="宋体" w:eastAsia="仿宋_GB2312" w:cstheme="minorEastAsia"/>
          <w:color w:val="000000"/>
          <w:spacing w:val="0"/>
          <w:w w:val="100"/>
          <w:position w:val="0"/>
          <w:sz w:val="28"/>
          <w:szCs w:val="28"/>
          <w:lang w:val="en-US" w:eastAsia="zh-CN"/>
        </w:rPr>
        <w:t>月定价一次；对价格不符合市场报价的给与纠正、警告。</w:t>
      </w:r>
    </w:p>
    <w:p w14:paraId="51899CA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商品价格的周期按酒店定价周期：</w:t>
      </w:r>
    </w:p>
    <w:p w14:paraId="7C7A8E8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商品的报价清单通过电子邮件、微信方式发送和接收；</w:t>
      </w:r>
    </w:p>
    <w:p w14:paraId="5B1B1E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4</w:t>
      </w:r>
      <w:r>
        <w:rPr>
          <w:rFonts w:hint="eastAsia" w:ascii="宋体" w:hAnsi="宋体" w:eastAsia="仿宋_GB2312" w:cstheme="minorEastAsia"/>
          <w:color w:val="000000"/>
          <w:spacing w:val="0"/>
          <w:w w:val="100"/>
          <w:position w:val="0"/>
          <w:sz w:val="28"/>
          <w:szCs w:val="28"/>
          <w:lang w:val="en-US" w:eastAsia="zh-CN"/>
        </w:rPr>
        <w:t>商品的价格应包括税金、运输费、装卸费、包装费等一切费用的包干价格；</w:t>
      </w:r>
    </w:p>
    <w:p w14:paraId="48A604D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lang w:val="en-US" w:eastAsia="zh-CN"/>
        </w:rPr>
        <w:t>商品的价格在定价周期内，不得高于定价，当市场价低于定价时，乙方需调整为符合市场的价格。</w:t>
      </w:r>
    </w:p>
    <w:p w14:paraId="22ACE8E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lang w:val="en-US" w:eastAsia="zh-CN"/>
        </w:rPr>
        <w:t>未定价的商品按市场价格及酒店采购询价小组定价后定价，供方不得虚高价格。</w:t>
      </w:r>
    </w:p>
    <w:p w14:paraId="4DB9D10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4、商品的验收：</w:t>
      </w:r>
    </w:p>
    <w:p w14:paraId="3076D7C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4.1乙方保证其提供的商品符合中华人民法律法规、各行政部门的规章制度、地方性法规、行政命令、各行业规范的规定和双方的约定。</w:t>
      </w:r>
    </w:p>
    <w:p w14:paraId="42912C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4.2甲方验收商品时，乙方应将下列相关证件及所有商品检测报告交付甲方。</w:t>
      </w:r>
    </w:p>
    <w:p w14:paraId="21F20A0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53EC101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4.2.2 送货清单：提供一式三联的送货清单并标明单位全称加盖印章。</w:t>
      </w:r>
    </w:p>
    <w:p w14:paraId="167D48A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4.3如有肉眼无法查验的农药超标，导致食物中毒，经卫生主管部门确认为食物中毒为乙方的责任，则由乙方承担经济赔偿责任。</w:t>
      </w:r>
    </w:p>
    <w:p w14:paraId="4AFD4E9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4.4乙方不得向甲方供应临近保质期的商品，若发现向甲方供应保质期过半的商品，需方有权拒收并退回。</w:t>
      </w:r>
    </w:p>
    <w:p w14:paraId="3043737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4.5乙方须对甲方承担商品的退换货服务。</w:t>
      </w:r>
    </w:p>
    <w:p w14:paraId="46A8F8D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4.6乙方所提供的商品，经甲方指定的部门或人员验收核对无误并在送货单盖章或签字及乙方所提供相关证件、商品检测报告有效后视为商品已完成交付。</w:t>
      </w:r>
    </w:p>
    <w:p w14:paraId="70079A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5、商品的发票：</w:t>
      </w:r>
    </w:p>
    <w:p w14:paraId="643AE7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5.1乙方在与甲方对账确认货款金额后，乙方开具有效合法的：</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增值税普通发票、</w:t>
      </w:r>
      <w:r>
        <w:rPr>
          <w:rFonts w:hint="eastAsia" w:ascii="宋体" w:hAnsi="宋体" w:eastAsia="仿宋_GB2312" w:cstheme="minorEastAsia"/>
          <w:color w:val="000000"/>
          <w:spacing w:val="0"/>
          <w:w w:val="100"/>
          <w:position w:val="0"/>
          <w:sz w:val="28"/>
          <w:szCs w:val="28"/>
          <w:lang w:val="en-US" w:eastAsia="zh-CN"/>
        </w:rPr>
        <w:sym w:font="Wingdings 2" w:char="00A3"/>
      </w:r>
      <w:r>
        <w:rPr>
          <w:rFonts w:hint="eastAsia" w:ascii="宋体" w:hAnsi="宋体" w:eastAsia="仿宋_GB2312" w:cstheme="minorEastAsia"/>
          <w:color w:val="000000"/>
          <w:spacing w:val="0"/>
          <w:w w:val="100"/>
          <w:position w:val="0"/>
          <w:sz w:val="28"/>
          <w:szCs w:val="28"/>
          <w:lang w:val="en-US" w:eastAsia="zh-CN"/>
        </w:rPr>
        <w:t>增值税专用发票、税率   %发票给甲方。</w:t>
      </w:r>
    </w:p>
    <w:p w14:paraId="21978A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5.2乙方开具的发票直接交到甲方指定的部门或人员手中，不得将发票随意交给甲方其他工作人员。</w:t>
      </w:r>
    </w:p>
    <w:p w14:paraId="3EB1820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6、商品的包装</w:t>
      </w:r>
    </w:p>
    <w:p w14:paraId="4F5472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6.1乙方供应的商品包装应符合国家的规定及双方的约定，并确保商品安全、卫生良好交甲方使用。</w:t>
      </w:r>
    </w:p>
    <w:p w14:paraId="5DF9D6E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5FFFD53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三</w:t>
      </w:r>
      <w:r>
        <w:rPr>
          <w:rFonts w:hint="eastAsia" w:ascii="黑体" w:hAnsi="黑体" w:eastAsia="黑体" w:cs="黑体"/>
          <w:color w:val="000000"/>
          <w:spacing w:val="0"/>
          <w:w w:val="100"/>
          <w:position w:val="0"/>
          <w:sz w:val="28"/>
          <w:szCs w:val="28"/>
        </w:rPr>
        <w:t>、付款条款</w:t>
      </w:r>
    </w:p>
    <w:p w14:paraId="6307615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 xml:space="preserve"> 1、付款方式：（均以人民币结算）。</w:t>
      </w:r>
    </w:p>
    <w:p w14:paraId="684D56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甲方仅以乙方为货款的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款人，且本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之乙方与甲方提供的发票的出票人与货款的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款人为同一人。经双方同意以银行转账方式将本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项下的款项支付至乙方指定的如下银行账户：</w:t>
      </w:r>
    </w:p>
    <w:p w14:paraId="7B38EAF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户</w:t>
      </w:r>
      <w:r>
        <w:rPr>
          <w:rFonts w:hint="eastAsia" w:ascii="宋体" w:hAnsi="宋体"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rPr>
        <w:t>名：</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375489C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开户</w:t>
      </w:r>
      <w:r>
        <w:rPr>
          <w:rFonts w:hint="eastAsia" w:ascii="宋体" w:hAnsi="宋体" w:eastAsia="仿宋_GB2312" w:cstheme="minorEastAsia"/>
          <w:color w:val="000000"/>
          <w:spacing w:val="0"/>
          <w:w w:val="100"/>
          <w:position w:val="0"/>
          <w:sz w:val="28"/>
          <w:szCs w:val="28"/>
          <w:lang w:val="en-US" w:eastAsia="zh-CN"/>
        </w:rPr>
        <w:t>银</w:t>
      </w:r>
      <w:r>
        <w:rPr>
          <w:rFonts w:hint="eastAsia" w:ascii="宋体" w:hAnsi="宋体" w:eastAsia="仿宋_GB2312" w:cstheme="minorEastAsia"/>
          <w:color w:val="000000"/>
          <w:spacing w:val="0"/>
          <w:w w:val="100"/>
          <w:position w:val="0"/>
          <w:sz w:val="28"/>
          <w:szCs w:val="28"/>
        </w:rPr>
        <w:t>行：</w:t>
      </w:r>
      <w:r>
        <w:rPr>
          <w:rFonts w:hint="eastAsia" w:ascii="宋体" w:hAnsi="宋体" w:eastAsia="仿宋_GB2312" w:cstheme="minorEastAsia"/>
          <w:color w:val="000000"/>
          <w:spacing w:val="0"/>
          <w:w w:val="100"/>
          <w:position w:val="0"/>
          <w:sz w:val="28"/>
          <w:szCs w:val="28"/>
          <w:u w:val="single"/>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236F349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default" w:ascii="Calibri" w:hAnsi="Calibri" w:eastAsia="宋体" w:cs="宋体"/>
          <w:color w:val="auto"/>
          <w:sz w:val="28"/>
          <w:szCs w:val="28"/>
          <w:highlight w:val="none"/>
          <w:lang w:val="en-US" w:eastAsia="zh-CN"/>
        </w:rPr>
      </w:pPr>
      <w:r>
        <w:rPr>
          <w:rFonts w:hint="eastAsia" w:ascii="宋体" w:hAnsi="宋体" w:eastAsia="仿宋_GB2312" w:cstheme="minorEastAsia"/>
          <w:color w:val="000000"/>
          <w:spacing w:val="0"/>
          <w:w w:val="100"/>
          <w:position w:val="0"/>
          <w:sz w:val="28"/>
          <w:szCs w:val="28"/>
        </w:rPr>
        <w:t>银行账号：</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013FAFF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2、付款期限</w:t>
      </w:r>
    </w:p>
    <w:p w14:paraId="6F3A96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（1）甲方向乙方的付款</w:t>
      </w:r>
      <w:r>
        <w:rPr>
          <w:rFonts w:hint="eastAsia" w:ascii="宋体" w:hAnsi="宋体" w:eastAsia="仿宋_GB2312" w:cstheme="minorEastAsia"/>
          <w:color w:val="000000"/>
          <w:spacing w:val="0"/>
          <w:w w:val="100"/>
          <w:position w:val="0"/>
          <w:sz w:val="28"/>
          <w:szCs w:val="28"/>
          <w:lang w:val="en-US" w:eastAsia="zh-CN"/>
        </w:rPr>
        <w:t>账</w:t>
      </w:r>
      <w:r>
        <w:rPr>
          <w:rFonts w:hint="eastAsia" w:ascii="宋体" w:hAnsi="宋体" w:eastAsia="仿宋_GB2312" w:cstheme="minorEastAsia"/>
          <w:color w:val="000000"/>
          <w:spacing w:val="0"/>
          <w:w w:val="100"/>
          <w:position w:val="0"/>
          <w:sz w:val="28"/>
          <w:szCs w:val="28"/>
        </w:rPr>
        <w:t>期为</w:t>
      </w: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个自然月结算一次。</w:t>
      </w:r>
    </w:p>
    <w:p w14:paraId="55EF8F8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（2）对账期限为发生销售后次月的</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个工作日内</w:t>
      </w:r>
      <w:r>
        <w:rPr>
          <w:rFonts w:hint="eastAsia" w:ascii="宋体" w:hAnsi="宋体" w:eastAsia="仿宋_GB2312" w:cstheme="minorEastAsia"/>
          <w:color w:val="000000"/>
          <w:spacing w:val="0"/>
          <w:w w:val="100"/>
          <w:position w:val="0"/>
          <w:sz w:val="28"/>
          <w:szCs w:val="28"/>
          <w:lang w:eastAsia="zh-CN"/>
        </w:rPr>
        <w:t>（如遇节假日顺延）</w:t>
      </w:r>
      <w:r>
        <w:rPr>
          <w:rFonts w:hint="eastAsia" w:ascii="宋体" w:hAnsi="宋体" w:eastAsia="仿宋_GB2312" w:cstheme="minorEastAsia"/>
          <w:color w:val="000000"/>
          <w:spacing w:val="0"/>
          <w:w w:val="100"/>
          <w:position w:val="0"/>
          <w:sz w:val="28"/>
          <w:szCs w:val="28"/>
        </w:rPr>
        <w:t>。</w:t>
      </w:r>
    </w:p>
    <w:p w14:paraId="57C391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付款</w:t>
      </w:r>
      <w:r>
        <w:rPr>
          <w:rFonts w:hint="eastAsia" w:ascii="宋体" w:hAnsi="宋体" w:eastAsia="仿宋_GB2312" w:cstheme="minorEastAsia"/>
          <w:color w:val="000000"/>
          <w:spacing w:val="0"/>
          <w:w w:val="100"/>
          <w:position w:val="0"/>
          <w:sz w:val="28"/>
          <w:szCs w:val="28"/>
          <w:lang w:val="en-US" w:eastAsia="zh-CN"/>
        </w:rPr>
        <w:t>核算</w:t>
      </w:r>
    </w:p>
    <w:p w14:paraId="4D2AE9A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甲乙</w:t>
      </w:r>
      <w:r>
        <w:rPr>
          <w:rFonts w:hint="eastAsia" w:ascii="宋体" w:hAnsi="宋体" w:eastAsia="仿宋_GB2312" w:cstheme="minorEastAsia"/>
          <w:color w:val="000000"/>
          <w:spacing w:val="0"/>
          <w:w w:val="100"/>
          <w:position w:val="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方公章。</w:t>
      </w:r>
    </w:p>
    <w:p w14:paraId="5ED546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四</w:t>
      </w:r>
      <w:r>
        <w:rPr>
          <w:rFonts w:hint="eastAsia" w:ascii="黑体" w:hAnsi="黑体" w:eastAsia="黑体" w:cs="黑体"/>
          <w:color w:val="000000"/>
          <w:spacing w:val="0"/>
          <w:w w:val="100"/>
          <w:position w:val="0"/>
          <w:sz w:val="28"/>
          <w:szCs w:val="28"/>
        </w:rPr>
        <w:t>、 违约责任</w:t>
      </w:r>
    </w:p>
    <w:p w14:paraId="47A608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1、甲方违约责任</w:t>
      </w:r>
    </w:p>
    <w:p w14:paraId="69073C7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甲方无正当理由拒绝接收货物的，应承担因此给乙方造成的损失。</w:t>
      </w:r>
    </w:p>
    <w:p w14:paraId="51FEA96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2、乙方违约责任</w:t>
      </w:r>
    </w:p>
    <w:p w14:paraId="7D3D4C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2.1</w:t>
      </w:r>
      <w:r>
        <w:rPr>
          <w:rFonts w:hint="eastAsia" w:ascii="宋体" w:hAnsi="宋体" w:eastAsia="仿宋_GB2312" w:cstheme="minorEastAsia"/>
          <w:color w:val="000000"/>
          <w:spacing w:val="0"/>
          <w:w w:val="100"/>
          <w:position w:val="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如甲方不同意使用的，</w:t>
      </w:r>
      <w:r>
        <w:rPr>
          <w:rFonts w:hint="eastAsia" w:ascii="宋体" w:hAnsi="宋体" w:eastAsia="仿宋_GB2312" w:cstheme="minorEastAsia"/>
          <w:color w:val="000000"/>
          <w:spacing w:val="0"/>
          <w:w w:val="100"/>
          <w:position w:val="0"/>
          <w:sz w:val="28"/>
          <w:szCs w:val="28"/>
          <w:lang w:val="en-US" w:eastAsia="zh-CN"/>
        </w:rPr>
        <w:t>必须</w:t>
      </w:r>
      <w:r>
        <w:rPr>
          <w:rFonts w:hint="eastAsia" w:ascii="宋体" w:hAnsi="宋体" w:eastAsia="仿宋_GB2312" w:cstheme="minorEastAsia"/>
          <w:color w:val="000000"/>
          <w:spacing w:val="0"/>
          <w:w w:val="100"/>
          <w:position w:val="0"/>
          <w:sz w:val="28"/>
          <w:szCs w:val="28"/>
        </w:rPr>
        <w:t>退货，并由乙方承担因此而产生的费用。</w:t>
      </w:r>
    </w:p>
    <w:p w14:paraId="253700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2.2</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未</w:t>
      </w:r>
      <w:r>
        <w:rPr>
          <w:rFonts w:hint="eastAsia" w:ascii="宋体" w:hAnsi="宋体" w:eastAsia="仿宋_GB2312" w:cstheme="minorEastAsia"/>
          <w:color w:val="000000"/>
          <w:spacing w:val="0"/>
          <w:w w:val="100"/>
          <w:position w:val="0"/>
          <w:sz w:val="28"/>
          <w:szCs w:val="28"/>
        </w:rPr>
        <w:t>能按时送达货物又没有及时</w:t>
      </w:r>
      <w:r>
        <w:rPr>
          <w:rFonts w:hint="eastAsia" w:ascii="宋体" w:hAnsi="宋体" w:eastAsia="仿宋_GB2312" w:cstheme="minorEastAsia"/>
          <w:color w:val="000000"/>
          <w:spacing w:val="0"/>
          <w:w w:val="100"/>
          <w:position w:val="0"/>
          <w:sz w:val="28"/>
          <w:szCs w:val="28"/>
          <w:lang w:eastAsia="zh-CN"/>
        </w:rPr>
        <w:t>对突发事件做出响应和处理</w:t>
      </w:r>
      <w:r>
        <w:rPr>
          <w:rFonts w:hint="eastAsia" w:ascii="宋体" w:hAnsi="宋体" w:eastAsia="仿宋_GB2312" w:cstheme="minorEastAsia"/>
          <w:color w:val="000000"/>
          <w:spacing w:val="0"/>
          <w:w w:val="100"/>
          <w:position w:val="0"/>
          <w:sz w:val="28"/>
          <w:szCs w:val="28"/>
        </w:rPr>
        <w:t>，每次按月货款总额的</w:t>
      </w:r>
      <w:r>
        <w:rPr>
          <w:rFonts w:hint="eastAsia" w:ascii="宋体" w:hAnsi="宋体" w:eastAsia="仿宋_GB2312" w:cstheme="minorEastAsia"/>
          <w:color w:val="000000"/>
          <w:spacing w:val="0"/>
          <w:w w:val="100"/>
          <w:position w:val="0"/>
          <w:sz w:val="28"/>
          <w:szCs w:val="28"/>
          <w:lang w:val="en-US" w:eastAsia="zh-CN"/>
        </w:rPr>
        <w:t>千</w:t>
      </w:r>
      <w:r>
        <w:rPr>
          <w:rFonts w:hint="eastAsia" w:ascii="宋体" w:hAnsi="宋体" w:eastAsia="仿宋_GB2312" w:cstheme="minorEastAsia"/>
          <w:color w:val="000000"/>
          <w:spacing w:val="0"/>
          <w:w w:val="100"/>
          <w:position w:val="0"/>
          <w:sz w:val="28"/>
          <w:szCs w:val="28"/>
        </w:rPr>
        <w:t>分之三向甲方支付违约金</w:t>
      </w:r>
      <w:r>
        <w:rPr>
          <w:rFonts w:hint="eastAsia" w:ascii="宋体" w:hAnsi="宋体" w:eastAsia="仿宋_GB2312" w:cstheme="minorEastAsia"/>
          <w:color w:val="000000"/>
          <w:spacing w:val="0"/>
          <w:w w:val="100"/>
          <w:position w:val="0"/>
          <w:sz w:val="28"/>
          <w:szCs w:val="28"/>
          <w:lang w:eastAsia="zh-CN"/>
        </w:rPr>
        <w:t>。</w:t>
      </w:r>
    </w:p>
    <w:p w14:paraId="38F8978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0A2072F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w:t>
      </w:r>
      <w:r>
        <w:rPr>
          <w:rFonts w:hint="eastAsia" w:ascii="宋体" w:hAnsi="宋体" w:eastAsia="仿宋_GB2312" w:cstheme="minorEastAsia"/>
          <w:color w:val="000000"/>
          <w:spacing w:val="0"/>
          <w:w w:val="100"/>
          <w:position w:val="0"/>
          <w:sz w:val="28"/>
          <w:szCs w:val="28"/>
          <w:lang w:eastAsia="zh-CN"/>
        </w:rPr>
        <w:t>乙方</w:t>
      </w:r>
      <w:r>
        <w:rPr>
          <w:rFonts w:hint="eastAsia" w:ascii="宋体" w:hAnsi="宋体" w:eastAsia="仿宋_GB2312" w:cstheme="minorEastAsia"/>
          <w:color w:val="000000"/>
          <w:spacing w:val="0"/>
          <w:w w:val="100"/>
          <w:position w:val="0"/>
          <w:sz w:val="28"/>
          <w:szCs w:val="28"/>
          <w:lang w:val="en-US" w:eastAsia="zh-CN"/>
        </w:rPr>
        <w:t>必须接受考核。</w:t>
      </w:r>
    </w:p>
    <w:p w14:paraId="3BF2B6C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2.41考核方式：采购人采用检查和考核方式。其中检查分为日常检查、专项检查；考核分为每月考核。</w:t>
      </w:r>
    </w:p>
    <w:p w14:paraId="5008840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2.42采购人组织相关部门及人员组成考核小组按照考核标准及效果对乙方进行考核（考核评分表详见附表）。</w:t>
      </w:r>
    </w:p>
    <w:p w14:paraId="23B55D2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2.43考核结果分为合格、基本合格、不合格等级；考核的内容包含：食品质量、数量对应、食品卫生及检验保障、配送时效性、价格执行、应急处置情况、配送服务满意度。</w:t>
      </w:r>
    </w:p>
    <w:p w14:paraId="5C0A137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2.44日常检查：无请示更换产品问题扣除当日该产品结算金额的10%。</w:t>
      </w:r>
    </w:p>
    <w:p w14:paraId="7D552A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4F9F373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3A1628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62B820BF">
      <w:pPr>
        <w:pStyle w:val="59"/>
        <w:keepNext w:val="0"/>
        <w:keepLines w:val="0"/>
        <w:pageBreakBefore w:val="0"/>
        <w:widowControl w:val="0"/>
        <w:numPr>
          <w:ilvl w:val="0"/>
          <w:numId w:val="4"/>
        </w:numPr>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方应承担相应的行政处罚责任，并且</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方还应向甲方支付合同总额20%的违约金。</w:t>
      </w:r>
    </w:p>
    <w:p w14:paraId="48F8DC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lang w:val="en-US" w:eastAsia="zh-CN"/>
        </w:rPr>
      </w:pPr>
      <w:r>
        <w:rPr>
          <w:rFonts w:hint="eastAsia" w:ascii="黑体" w:hAnsi="黑体" w:eastAsia="黑体" w:cs="黑体"/>
          <w:color w:val="000000"/>
          <w:spacing w:val="0"/>
          <w:w w:val="100"/>
          <w:position w:val="0"/>
          <w:sz w:val="28"/>
          <w:szCs w:val="28"/>
          <w:lang w:val="en-US" w:eastAsia="zh-CN"/>
        </w:rPr>
        <w:t>五、履约保证金</w:t>
      </w:r>
    </w:p>
    <w:p w14:paraId="52A1594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方应于本合同签订之日交付给甲方履约保证金人民币</w:t>
      </w:r>
      <w:r>
        <w:rPr>
          <w:rFonts w:hint="eastAsia"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val="en-US" w:eastAsia="zh-CN"/>
        </w:rPr>
        <w:t>万元整（投标保证金贰万元转为履约保证金）。甲</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双方不再续约且在未发生违约行为前提下，甲方于合同期满后30个工作日内退还履约保证金给乙方（不计利息）。</w:t>
      </w:r>
    </w:p>
    <w:p w14:paraId="2DCE412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六</w:t>
      </w:r>
      <w:r>
        <w:rPr>
          <w:rFonts w:hint="eastAsia" w:ascii="黑体" w:hAnsi="黑体" w:eastAsia="黑体" w:cs="黑体"/>
          <w:color w:val="000000"/>
          <w:spacing w:val="0"/>
          <w:w w:val="100"/>
          <w:position w:val="0"/>
          <w:sz w:val="28"/>
          <w:szCs w:val="28"/>
        </w:rPr>
        <w:t>、</w:t>
      </w:r>
      <w:r>
        <w:rPr>
          <w:rFonts w:hint="eastAsia" w:ascii="黑体" w:hAnsi="黑体" w:eastAsia="黑体" w:cs="黑体"/>
          <w:color w:val="000000"/>
          <w:spacing w:val="0"/>
          <w:w w:val="100"/>
          <w:position w:val="0"/>
          <w:sz w:val="28"/>
          <w:szCs w:val="28"/>
          <w:lang w:val="en-US" w:eastAsia="zh-CN"/>
        </w:rPr>
        <w:t>合同</w:t>
      </w:r>
      <w:r>
        <w:rPr>
          <w:rFonts w:hint="eastAsia" w:ascii="黑体" w:hAnsi="黑体" w:eastAsia="黑体" w:cs="黑体"/>
          <w:color w:val="000000"/>
          <w:spacing w:val="0"/>
          <w:w w:val="100"/>
          <w:position w:val="0"/>
          <w:sz w:val="28"/>
          <w:szCs w:val="28"/>
        </w:rPr>
        <w:t>的解除</w:t>
      </w:r>
    </w:p>
    <w:p w14:paraId="2EC8F1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遇政府政策影响或甲方整体改变采购模式时，甲方可提前单方解除本合同，且不承担违约责任。</w:t>
      </w:r>
    </w:p>
    <w:p w14:paraId="4547E35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2、乙方需要提前解除合同时，须提前</w:t>
      </w:r>
      <w:r>
        <w:rPr>
          <w:rFonts w:hint="eastAsia" w:ascii="宋体" w:hAnsi="宋体" w:eastAsia="仿宋_GB2312" w:cstheme="minorEastAsia"/>
          <w:color w:val="000000"/>
          <w:spacing w:val="0"/>
          <w:w w:val="100"/>
          <w:position w:val="0"/>
          <w:sz w:val="28"/>
          <w:szCs w:val="28"/>
          <w:lang w:val="en-US" w:eastAsia="zh-CN"/>
        </w:rPr>
        <w:t>三个月</w:t>
      </w:r>
      <w:r>
        <w:rPr>
          <w:rFonts w:hint="eastAsia" w:ascii="宋体" w:hAnsi="宋体" w:eastAsia="仿宋_GB2312" w:cstheme="minorEastAsia"/>
          <w:color w:val="000000"/>
          <w:spacing w:val="0"/>
          <w:w w:val="100"/>
          <w:position w:val="0"/>
          <w:sz w:val="28"/>
          <w:szCs w:val="28"/>
        </w:rPr>
        <w:t>书面通知甲方，以便甲方做好接供工作，双方解除</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后</w:t>
      </w:r>
      <w:r>
        <w:rPr>
          <w:rFonts w:hint="eastAsia" w:ascii="宋体" w:hAnsi="宋体" w:eastAsia="仿宋_GB2312" w:cstheme="minorEastAsia"/>
          <w:color w:val="000000"/>
          <w:spacing w:val="0"/>
          <w:w w:val="100"/>
          <w:position w:val="0"/>
          <w:sz w:val="28"/>
          <w:szCs w:val="28"/>
          <w:lang w:val="en-US" w:eastAsia="zh-CN"/>
        </w:rPr>
        <w:t>两个月</w:t>
      </w:r>
      <w:r>
        <w:rPr>
          <w:rFonts w:hint="eastAsia" w:ascii="宋体" w:hAnsi="宋体" w:eastAsia="仿宋_GB2312" w:cstheme="minorEastAsia"/>
          <w:color w:val="000000"/>
          <w:spacing w:val="0"/>
          <w:w w:val="100"/>
          <w:position w:val="0"/>
          <w:sz w:val="28"/>
          <w:szCs w:val="28"/>
        </w:rPr>
        <w:t>内甲方结清所有款项。</w:t>
      </w:r>
    </w:p>
    <w:p w14:paraId="409DE44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3、合作试用期不合格的，甲方有权单方面终止本合同。</w:t>
      </w:r>
    </w:p>
    <w:p w14:paraId="7ADDC53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4、合同期满，本合同自动终止。</w:t>
      </w:r>
    </w:p>
    <w:p w14:paraId="1736790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七</w:t>
      </w:r>
      <w:r>
        <w:rPr>
          <w:rFonts w:hint="eastAsia" w:ascii="黑体" w:hAnsi="黑体" w:eastAsia="黑体" w:cs="黑体"/>
          <w:color w:val="000000"/>
          <w:spacing w:val="0"/>
          <w:w w:val="100"/>
          <w:position w:val="0"/>
          <w:sz w:val="28"/>
          <w:szCs w:val="28"/>
        </w:rPr>
        <w:t>、争议解决</w:t>
      </w:r>
    </w:p>
    <w:p w14:paraId="1BB17C6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6877FB1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黑体" w:hAnsi="黑体" w:eastAsia="黑体" w:cs="黑体"/>
          <w:color w:val="000000"/>
          <w:spacing w:val="0"/>
          <w:w w:val="100"/>
          <w:position w:val="0"/>
          <w:sz w:val="28"/>
          <w:szCs w:val="28"/>
        </w:rPr>
      </w:pPr>
      <w:r>
        <w:rPr>
          <w:rFonts w:hint="eastAsia" w:ascii="黑体" w:hAnsi="黑体" w:eastAsia="黑体" w:cs="黑体"/>
          <w:color w:val="000000"/>
          <w:spacing w:val="0"/>
          <w:w w:val="100"/>
          <w:position w:val="0"/>
          <w:sz w:val="28"/>
          <w:szCs w:val="28"/>
          <w:lang w:val="en-US" w:eastAsia="zh-CN"/>
        </w:rPr>
        <w:t>八</w:t>
      </w:r>
      <w:r>
        <w:rPr>
          <w:rFonts w:hint="eastAsia" w:ascii="黑体" w:hAnsi="黑体" w:eastAsia="黑体" w:cs="黑体"/>
          <w:color w:val="000000"/>
          <w:spacing w:val="0"/>
          <w:w w:val="100"/>
          <w:position w:val="0"/>
          <w:sz w:val="28"/>
          <w:szCs w:val="28"/>
        </w:rPr>
        <w:t>、廉政方面</w:t>
      </w:r>
    </w:p>
    <w:p w14:paraId="680AB0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为了积极配合甲方进行采购工作，确保采购工作的公平、公正、公开，乙方保证认真贯彻国家有关廉政的有关规定，特向甲方承诺如下事项：</w:t>
      </w:r>
    </w:p>
    <w:p w14:paraId="764572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1、按照甲方采购文件规定的方式进行，不搞采购文件</w:t>
      </w:r>
      <w:r>
        <w:rPr>
          <w:rFonts w:hint="eastAsia" w:ascii="宋体" w:hAnsi="宋体" w:eastAsia="仿宋_GB2312" w:cstheme="minorEastAsia"/>
          <w:color w:val="000000"/>
          <w:spacing w:val="0"/>
          <w:w w:val="100"/>
          <w:position w:val="0"/>
          <w:sz w:val="28"/>
          <w:szCs w:val="28"/>
          <w:lang w:eastAsia="zh-CN"/>
        </w:rPr>
        <w:t>未做</w:t>
      </w:r>
      <w:r>
        <w:rPr>
          <w:rFonts w:hint="eastAsia" w:ascii="宋体" w:hAnsi="宋体" w:eastAsia="仿宋_GB2312" w:cstheme="minorEastAsia"/>
          <w:color w:val="000000"/>
          <w:spacing w:val="0"/>
          <w:w w:val="100"/>
          <w:position w:val="0"/>
          <w:sz w:val="28"/>
          <w:szCs w:val="28"/>
        </w:rPr>
        <w:t>要求的任何行为。</w:t>
      </w:r>
    </w:p>
    <w:p w14:paraId="08854C0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2、不以任何方式向甲方的任何人赠送礼品、礼金及有价证券。</w:t>
      </w:r>
    </w:p>
    <w:p w14:paraId="171E2F3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3、不宴请甲方的任何人或请甲方的任何人参加高消费的娱乐活动以及旅游、考察、参观等。</w:t>
      </w:r>
    </w:p>
    <w:p w14:paraId="668B21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yellow"/>
          <w:lang w:val="en-US" w:eastAsia="zh-CN"/>
        </w:rPr>
      </w:pPr>
      <w:r>
        <w:rPr>
          <w:rFonts w:hint="eastAsia" w:ascii="黑体" w:hAnsi="黑体" w:eastAsia="黑体" w:cs="黑体"/>
          <w:color w:val="000000"/>
          <w:spacing w:val="0"/>
          <w:w w:val="100"/>
          <w:position w:val="0"/>
          <w:sz w:val="28"/>
          <w:szCs w:val="28"/>
          <w:lang w:val="en-US" w:eastAsia="zh-CN"/>
        </w:rPr>
        <w:t>九、其他约定条款</w:t>
      </w:r>
    </w:p>
    <w:p w14:paraId="567A768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lang w:val="en-US" w:eastAsia="zh-CN"/>
        </w:rPr>
        <w:t>、乙方需向甲方提供指定的或临时更换的配送人员有效期内健康证复印件。</w:t>
      </w:r>
    </w:p>
    <w:p w14:paraId="7AA5CEF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、合作试用期自</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月</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日</w:t>
      </w:r>
      <w:r>
        <w:rPr>
          <w:rFonts w:hint="eastAsia" w:ascii="宋体" w:hAnsi="宋体" w:eastAsia="仿宋_GB2312" w:cstheme="minorEastAsia"/>
          <w:color w:val="000000"/>
          <w:spacing w:val="0"/>
          <w:w w:val="100"/>
          <w:position w:val="0"/>
          <w:sz w:val="28"/>
          <w:szCs w:val="28"/>
          <w:lang w:val="en-US" w:eastAsia="zh-CN"/>
        </w:rPr>
        <w:t>起至</w:t>
      </w:r>
      <w:r>
        <w:rPr>
          <w:rFonts w:hint="eastAsia" w:ascii="宋体" w:hAnsi="宋体" w:eastAsia="仿宋_GB2312" w:cstheme="minorEastAsia"/>
          <w:color w:val="000000"/>
          <w:spacing w:val="0"/>
          <w:w w:val="100"/>
          <w:position w:val="0"/>
          <w:sz w:val="28"/>
          <w:szCs w:val="28"/>
          <w:u w:val="single"/>
          <w:lang w:val="en-US" w:eastAsia="zh-CN"/>
        </w:rPr>
        <w:t>202</w:t>
      </w:r>
      <w:r>
        <w:rPr>
          <w:rFonts w:hint="eastAsia" w:eastAsia="仿宋_GB2312" w:cstheme="minorEastAsia"/>
          <w:color w:val="000000"/>
          <w:spacing w:val="0"/>
          <w:w w:val="100"/>
          <w:position w:val="0"/>
          <w:sz w:val="28"/>
          <w:szCs w:val="28"/>
          <w:u w:val="single"/>
          <w:lang w:val="en-US" w:eastAsia="zh-CN"/>
        </w:rPr>
        <w:t>6</w:t>
      </w:r>
      <w:r>
        <w:rPr>
          <w:rFonts w:hint="eastAsia" w:ascii="宋体" w:hAnsi="宋体" w:eastAsia="仿宋_GB2312" w:cstheme="minorEastAsia"/>
          <w:color w:val="000000"/>
          <w:spacing w:val="0"/>
          <w:w w:val="100"/>
          <w:position w:val="0"/>
          <w:sz w:val="28"/>
          <w:szCs w:val="28"/>
          <w:u w:val="single"/>
          <w:lang w:val="en-US" w:eastAsia="zh-CN"/>
        </w:rPr>
        <w:t xml:space="preserve">年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月 </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止为期</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lang w:val="en-US" w:eastAsia="zh-CN"/>
        </w:rPr>
        <w:t>个月，若在合作试用期间乙方不能满足甲方的供货需求，甲方将随时与乙方终止本合同。</w:t>
      </w:r>
    </w:p>
    <w:p w14:paraId="7C64998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2" w:firstLineChars="200"/>
        <w:jc w:val="left"/>
        <w:textAlignment w:val="auto"/>
        <w:rPr>
          <w:rFonts w:hint="eastAsia" w:ascii="宋体" w:hAnsi="宋体" w:eastAsia="仿宋_GB2312" w:cs="黑体"/>
          <w:b/>
          <w:bCs/>
          <w:color w:val="000000"/>
          <w:spacing w:val="0"/>
          <w:w w:val="100"/>
          <w:position w:val="0"/>
          <w:sz w:val="28"/>
          <w:szCs w:val="28"/>
          <w:lang w:val="en-US" w:eastAsia="zh-CN"/>
        </w:rPr>
      </w:pPr>
      <w:r>
        <w:rPr>
          <w:rFonts w:hint="eastAsia" w:ascii="宋体" w:hAnsi="宋体" w:eastAsia="仿宋_GB2312" w:cs="黑体"/>
          <w:b/>
          <w:bCs/>
          <w:color w:val="000000"/>
          <w:spacing w:val="0"/>
          <w:w w:val="100"/>
          <w:position w:val="0"/>
          <w:sz w:val="28"/>
          <w:szCs w:val="28"/>
        </w:rPr>
        <w:t>十、</w:t>
      </w:r>
      <w:r>
        <w:rPr>
          <w:rFonts w:hint="eastAsia" w:ascii="宋体" w:hAnsi="宋体" w:eastAsia="仿宋_GB2312" w:cs="黑体"/>
          <w:b/>
          <w:bCs/>
          <w:color w:val="000000"/>
          <w:spacing w:val="0"/>
          <w:w w:val="100"/>
          <w:position w:val="0"/>
          <w:sz w:val="28"/>
          <w:szCs w:val="28"/>
          <w:lang w:val="en-US" w:eastAsia="zh-CN"/>
        </w:rPr>
        <w:t>合同期限</w:t>
      </w:r>
    </w:p>
    <w:p w14:paraId="1BC9EEC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有效期</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日起至</w:t>
      </w:r>
      <w:r>
        <w:rPr>
          <w:rFonts w:hint="eastAsia" w:ascii="宋体" w:hAnsi="宋体" w:eastAsia="仿宋_GB2312" w:cstheme="minorEastAsia"/>
          <w:color w:val="000000"/>
          <w:spacing w:val="0"/>
          <w:w w:val="100"/>
          <w:position w:val="0"/>
          <w:sz w:val="28"/>
          <w:szCs w:val="28"/>
          <w:lang w:val="en-US" w:eastAsia="zh-CN"/>
        </w:rPr>
        <w:t>202</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strike w:val="0"/>
          <w:dstrike w:val="0"/>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日止。</w:t>
      </w:r>
    </w:p>
    <w:p w14:paraId="27E6C68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自双方法定代表人（负责人）或其授权代表签署并加盖双方公章或合同专用章之日起生效。</w:t>
      </w:r>
    </w:p>
    <w:p w14:paraId="0B0BD7A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3.本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正本一式</w:t>
      </w:r>
      <w:r>
        <w:rPr>
          <w:rFonts w:hint="eastAsia" w:ascii="宋体" w:hAnsi="宋体" w:eastAsia="仿宋_GB2312" w:cstheme="minorEastAsia"/>
          <w:color w:val="000000"/>
          <w:spacing w:val="0"/>
          <w:w w:val="100"/>
          <w:position w:val="0"/>
          <w:sz w:val="28"/>
          <w:szCs w:val="28"/>
          <w:lang w:val="en-US" w:eastAsia="zh-CN"/>
        </w:rPr>
        <w:t>肆</w:t>
      </w:r>
      <w:r>
        <w:rPr>
          <w:rFonts w:hint="eastAsia" w:ascii="宋体" w:hAnsi="宋体" w:eastAsia="仿宋_GB2312" w:cstheme="minorEastAsia"/>
          <w:color w:val="000000"/>
          <w:spacing w:val="0"/>
          <w:w w:val="100"/>
          <w:position w:val="0"/>
          <w:sz w:val="28"/>
          <w:szCs w:val="28"/>
        </w:rPr>
        <w:t>份，甲</w:t>
      </w:r>
      <w:r>
        <w:rPr>
          <w:rFonts w:hint="eastAsia" w:ascii="宋体" w:hAnsi="宋体" w:eastAsia="仿宋_GB2312" w:cstheme="minorEastAsia"/>
          <w:color w:val="000000"/>
          <w:spacing w:val="0"/>
          <w:w w:val="100"/>
          <w:position w:val="0"/>
          <w:sz w:val="28"/>
          <w:szCs w:val="28"/>
          <w:lang w:eastAsia="zh-CN"/>
        </w:rPr>
        <w:t>方执</w:t>
      </w:r>
      <w:r>
        <w:rPr>
          <w:rFonts w:hint="eastAsia" w:ascii="宋体" w:hAnsi="宋体"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eastAsia="zh-CN"/>
        </w:rPr>
        <w:t>份，乙方执贰份，均具有同等法律效力。</w:t>
      </w:r>
      <w:r>
        <w:rPr>
          <w:rFonts w:hint="eastAsia" w:ascii="宋体" w:hAnsi="宋体" w:eastAsia="仿宋_GB2312" w:cstheme="minorEastAsia"/>
          <w:color w:val="000000"/>
          <w:spacing w:val="0"/>
          <w:w w:val="100"/>
          <w:position w:val="0"/>
          <w:sz w:val="28"/>
          <w:szCs w:val="28"/>
          <w:lang w:val="en-US" w:eastAsia="zh-CN"/>
        </w:rPr>
        <w:t>本合同补充协议及附件作为本合同的一部分，</w:t>
      </w:r>
      <w:r>
        <w:rPr>
          <w:rFonts w:hint="eastAsia" w:ascii="宋体" w:hAnsi="宋体" w:eastAsia="仿宋_GB2312" w:cstheme="minorEastAsia"/>
          <w:color w:val="000000"/>
          <w:spacing w:val="0"/>
          <w:w w:val="100"/>
          <w:position w:val="0"/>
          <w:sz w:val="28"/>
          <w:szCs w:val="28"/>
        </w:rPr>
        <w:t>与本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具有同等法律效力</w:t>
      </w:r>
      <w:r>
        <w:rPr>
          <w:rFonts w:hint="eastAsia" w:ascii="宋体" w:hAnsi="宋体" w:eastAsia="仿宋_GB2312" w:cstheme="minorEastAsia"/>
          <w:color w:val="000000"/>
          <w:spacing w:val="0"/>
          <w:w w:val="100"/>
          <w:position w:val="0"/>
          <w:sz w:val="28"/>
          <w:szCs w:val="28"/>
          <w:lang w:val="en-US" w:eastAsia="zh-CN"/>
        </w:rPr>
        <w:t>。</w:t>
      </w:r>
    </w:p>
    <w:tbl>
      <w:tblPr>
        <w:tblStyle w:val="21"/>
        <w:tblW w:w="0" w:type="auto"/>
        <w:jc w:val="center"/>
        <w:tblLayout w:type="fixed"/>
        <w:tblCellMar>
          <w:top w:w="0" w:type="dxa"/>
          <w:left w:w="108" w:type="dxa"/>
          <w:bottom w:w="0" w:type="dxa"/>
          <w:right w:w="108" w:type="dxa"/>
        </w:tblCellMar>
      </w:tblPr>
      <w:tblGrid>
        <w:gridCol w:w="4595"/>
        <w:gridCol w:w="4603"/>
      </w:tblGrid>
      <w:tr w14:paraId="7E51F691">
        <w:tblPrEx>
          <w:tblCellMar>
            <w:top w:w="0" w:type="dxa"/>
            <w:left w:w="108" w:type="dxa"/>
            <w:bottom w:w="0" w:type="dxa"/>
            <w:right w:w="108" w:type="dxa"/>
          </w:tblCellMar>
        </w:tblPrEx>
        <w:trPr>
          <w:cantSplit/>
          <w:trHeight w:val="1642" w:hRule="exact"/>
          <w:jc w:val="center"/>
        </w:trPr>
        <w:tc>
          <w:tcPr>
            <w:tcW w:w="4595" w:type="dxa"/>
            <w:noWrap w:val="0"/>
            <w:vAlign w:val="center"/>
          </w:tcPr>
          <w:p w14:paraId="3E5F8B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840" w:firstLineChars="3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甲方：</w:t>
            </w:r>
          </w:p>
          <w:p w14:paraId="7CDB2E3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c>
          <w:tcPr>
            <w:tcW w:w="4603" w:type="dxa"/>
            <w:noWrap w:val="0"/>
            <w:vAlign w:val="center"/>
          </w:tcPr>
          <w:p w14:paraId="5F201F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eastAsia="zh-CN"/>
              </w:rPr>
            </w:pPr>
            <w:r>
              <w:rPr>
                <w:rFonts w:hint="eastAsia" w:asciiTheme="minorEastAsia" w:hAnsiTheme="minorEastAsia" w:eastAsiaTheme="minorEastAsia" w:cstheme="minorEastAsia"/>
                <w:color w:val="000000"/>
                <w:spacing w:val="0"/>
                <w:w w:val="100"/>
                <w:position w:val="0"/>
                <w:sz w:val="28"/>
                <w:szCs w:val="28"/>
              </w:rPr>
              <w:t>乙方：</w:t>
            </w:r>
          </w:p>
          <w:p w14:paraId="2A516A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r>
    </w:tbl>
    <w:p w14:paraId="56B645A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3C0F9E21">
        <w:tblPrEx>
          <w:tblCellMar>
            <w:top w:w="0" w:type="dxa"/>
            <w:left w:w="108" w:type="dxa"/>
            <w:bottom w:w="0" w:type="dxa"/>
            <w:right w:w="108" w:type="dxa"/>
          </w:tblCellMar>
        </w:tblPrEx>
        <w:trPr>
          <w:cantSplit/>
          <w:trHeight w:val="1453" w:hRule="exact"/>
          <w:jc w:val="center"/>
        </w:trPr>
        <w:tc>
          <w:tcPr>
            <w:tcW w:w="4595" w:type="dxa"/>
            <w:noWrap w:val="0"/>
            <w:vAlign w:val="center"/>
          </w:tcPr>
          <w:p w14:paraId="7A3711D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负责人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或</w:t>
            </w:r>
          </w:p>
          <w:p w14:paraId="23988C3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tc>
        <w:tc>
          <w:tcPr>
            <w:tcW w:w="4603" w:type="dxa"/>
            <w:noWrap w:val="0"/>
            <w:vAlign w:val="center"/>
          </w:tcPr>
          <w:p w14:paraId="732BC2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法定代表人（负责人）或</w:t>
            </w:r>
          </w:p>
          <w:p w14:paraId="68A43F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p w14:paraId="5A81EFA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3054694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7B0C985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c>
      </w:tr>
    </w:tbl>
    <w:p w14:paraId="5769BAE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ajorEastAsia" w:hAnsiTheme="majorEastAsia" w:eastAsiaTheme="majorEastAsia" w:cstheme="majorEastAsia"/>
          <w:color w:val="auto"/>
          <w:sz w:val="32"/>
          <w:szCs w:val="32"/>
          <w:highlight w:val="none"/>
          <w:shd w:val="clear" w:color="auto" w:fill="FFFFFF"/>
          <w:lang w:eastAsia="zh-CN"/>
        </w:rPr>
      </w:pP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p>
    <w:p w14:paraId="4E0A3CF7">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6C622EC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b/>
          <w:bCs/>
          <w:color w:val="auto"/>
          <w:sz w:val="36"/>
          <w:szCs w:val="36"/>
          <w:highlight w:val="none"/>
          <w:shd w:val="clear" w:color="auto" w:fill="FFFFFF"/>
          <w:lang w:eastAsia="zh-CN"/>
        </w:rPr>
      </w:pPr>
    </w:p>
    <w:p w14:paraId="4FBD342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63451B3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0EA1290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4B91309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339E8ED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2899A3E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003E2D2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75485A1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110300C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184B372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6B5C9EF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429CFCC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6FFD708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33DCC5F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6142590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447EAD0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27CA8E6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245C447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2D8887D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31F34B9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6F672B9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7CBFD28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1CFEAA8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5D614B4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6741DF4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46B01EA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24A8F9E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0F7CD57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24FD1E2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5A30E05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723AB13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6C09906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5244C599">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6CD02C8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0B38496">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1F151092">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31F1D9AA">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80CFF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0C94491">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6AD8C94">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A555778">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5C368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48A9E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EC29E95">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EE6EAA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003D5B9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9F08AF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A1D5177">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61143E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646BE00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71B49C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3EEEFC2">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1D153D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0278C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12D139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1F9C8AB">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585ED9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7547110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1149C9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89B29A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89276D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81A240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671724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D3E737D">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BFBD3A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551A7E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EEB74E6">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D465CF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F882FB9">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6A71878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F063E6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119146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D57B96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65638411">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84D14">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727E1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D727E12">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E48F8">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D571D0">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1D571D0">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A823F">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B6514">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010DB329"/>
    <w:multiLevelType w:val="singleLevel"/>
    <w:tmpl w:val="010DB329"/>
    <w:lvl w:ilvl="0" w:tentative="0">
      <w:start w:val="5"/>
      <w:numFmt w:val="decimal"/>
      <w:suff w:val="nothing"/>
      <w:lvlText w:val="（%1）"/>
      <w:lvlJc w:val="left"/>
    </w:lvl>
  </w:abstractNum>
  <w:abstractNum w:abstractNumId="2">
    <w:nsid w:val="60F81F99"/>
    <w:multiLevelType w:val="singleLevel"/>
    <w:tmpl w:val="60F81F99"/>
    <w:lvl w:ilvl="0" w:tentative="0">
      <w:start w:val="1"/>
      <w:numFmt w:val="decimal"/>
      <w:suff w:val="nothing"/>
      <w:lvlText w:val="%1."/>
      <w:lvlJc w:val="left"/>
    </w:lvl>
  </w:abstractNum>
  <w:abstractNum w:abstractNumId="3">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8A7679"/>
    <w:rsid w:val="018E051B"/>
    <w:rsid w:val="01983D30"/>
    <w:rsid w:val="01C0309B"/>
    <w:rsid w:val="01CC70CA"/>
    <w:rsid w:val="01F25CB3"/>
    <w:rsid w:val="020E0702"/>
    <w:rsid w:val="021E6342"/>
    <w:rsid w:val="022A6118"/>
    <w:rsid w:val="022E6257"/>
    <w:rsid w:val="022F3D75"/>
    <w:rsid w:val="02320A5F"/>
    <w:rsid w:val="023E0E6C"/>
    <w:rsid w:val="026517EB"/>
    <w:rsid w:val="02697B67"/>
    <w:rsid w:val="02935B81"/>
    <w:rsid w:val="02C76577"/>
    <w:rsid w:val="03003D65"/>
    <w:rsid w:val="03704155"/>
    <w:rsid w:val="038A6E93"/>
    <w:rsid w:val="03C27EBE"/>
    <w:rsid w:val="03D459D5"/>
    <w:rsid w:val="03E14719"/>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937569"/>
    <w:rsid w:val="0A9C0642"/>
    <w:rsid w:val="0AA73876"/>
    <w:rsid w:val="0AAF3B35"/>
    <w:rsid w:val="0ACA48D4"/>
    <w:rsid w:val="0AFF2C5A"/>
    <w:rsid w:val="0B291CB1"/>
    <w:rsid w:val="0B3D39AE"/>
    <w:rsid w:val="0B532920"/>
    <w:rsid w:val="0B60187B"/>
    <w:rsid w:val="0B64718D"/>
    <w:rsid w:val="0B8E7D66"/>
    <w:rsid w:val="0B963927"/>
    <w:rsid w:val="0B9C5D9B"/>
    <w:rsid w:val="0B9C6927"/>
    <w:rsid w:val="0BE5379A"/>
    <w:rsid w:val="0BE77114"/>
    <w:rsid w:val="0C08371C"/>
    <w:rsid w:val="0C365084"/>
    <w:rsid w:val="0C56100B"/>
    <w:rsid w:val="0C602E8E"/>
    <w:rsid w:val="0C9B1AFA"/>
    <w:rsid w:val="0C9B273C"/>
    <w:rsid w:val="0CCE010E"/>
    <w:rsid w:val="0CD617BA"/>
    <w:rsid w:val="0CEC1E7D"/>
    <w:rsid w:val="0CFF53BF"/>
    <w:rsid w:val="0D10174C"/>
    <w:rsid w:val="0D13264B"/>
    <w:rsid w:val="0D5E3032"/>
    <w:rsid w:val="0DB074A5"/>
    <w:rsid w:val="0DE3083D"/>
    <w:rsid w:val="0E240423"/>
    <w:rsid w:val="0E4A75B0"/>
    <w:rsid w:val="0E4B355A"/>
    <w:rsid w:val="0E5C414B"/>
    <w:rsid w:val="0E7C0C7A"/>
    <w:rsid w:val="0EED009A"/>
    <w:rsid w:val="0F0715E2"/>
    <w:rsid w:val="0F27086A"/>
    <w:rsid w:val="0F875971"/>
    <w:rsid w:val="0FB57D8A"/>
    <w:rsid w:val="10093E5F"/>
    <w:rsid w:val="101D08B5"/>
    <w:rsid w:val="10615B33"/>
    <w:rsid w:val="10780D3C"/>
    <w:rsid w:val="10857B8E"/>
    <w:rsid w:val="10874459"/>
    <w:rsid w:val="10927ABC"/>
    <w:rsid w:val="111156C1"/>
    <w:rsid w:val="113678CE"/>
    <w:rsid w:val="1177030A"/>
    <w:rsid w:val="117874EE"/>
    <w:rsid w:val="11853D3E"/>
    <w:rsid w:val="11B570D6"/>
    <w:rsid w:val="11D50857"/>
    <w:rsid w:val="12170AB5"/>
    <w:rsid w:val="122E0BB8"/>
    <w:rsid w:val="1281092F"/>
    <w:rsid w:val="128A74D9"/>
    <w:rsid w:val="12B47BB8"/>
    <w:rsid w:val="12BA1418"/>
    <w:rsid w:val="12CC18D7"/>
    <w:rsid w:val="13007405"/>
    <w:rsid w:val="13164460"/>
    <w:rsid w:val="136E569C"/>
    <w:rsid w:val="137F4296"/>
    <w:rsid w:val="138F0A28"/>
    <w:rsid w:val="13A05904"/>
    <w:rsid w:val="13BF7656"/>
    <w:rsid w:val="13E63024"/>
    <w:rsid w:val="13EC051C"/>
    <w:rsid w:val="13ED52C0"/>
    <w:rsid w:val="13F13588"/>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B1987"/>
    <w:rsid w:val="17350D9E"/>
    <w:rsid w:val="17556281"/>
    <w:rsid w:val="176E793C"/>
    <w:rsid w:val="17866BE5"/>
    <w:rsid w:val="179E57D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AF263EE"/>
    <w:rsid w:val="1BCE4119"/>
    <w:rsid w:val="1BD85EAD"/>
    <w:rsid w:val="1BE30AC6"/>
    <w:rsid w:val="1C274108"/>
    <w:rsid w:val="1C355BA8"/>
    <w:rsid w:val="1C420FD5"/>
    <w:rsid w:val="1C540E62"/>
    <w:rsid w:val="1C876C59"/>
    <w:rsid w:val="1C9D24FF"/>
    <w:rsid w:val="1CA86737"/>
    <w:rsid w:val="1CC11866"/>
    <w:rsid w:val="1CD37CCF"/>
    <w:rsid w:val="1CDB2579"/>
    <w:rsid w:val="1CE26372"/>
    <w:rsid w:val="1D397EC9"/>
    <w:rsid w:val="1D57445C"/>
    <w:rsid w:val="1D7B3892"/>
    <w:rsid w:val="1D9F6FB2"/>
    <w:rsid w:val="1DA33B45"/>
    <w:rsid w:val="1DA768DB"/>
    <w:rsid w:val="1DE30541"/>
    <w:rsid w:val="1DEB07C1"/>
    <w:rsid w:val="1E0B0E08"/>
    <w:rsid w:val="1E3D7AF5"/>
    <w:rsid w:val="1E404861"/>
    <w:rsid w:val="1E617AE2"/>
    <w:rsid w:val="1E8E323C"/>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1B1C44"/>
    <w:rsid w:val="21246D8E"/>
    <w:rsid w:val="213328FA"/>
    <w:rsid w:val="214557F9"/>
    <w:rsid w:val="214D67E7"/>
    <w:rsid w:val="214E39D9"/>
    <w:rsid w:val="21AE1995"/>
    <w:rsid w:val="220D44F4"/>
    <w:rsid w:val="220F79FB"/>
    <w:rsid w:val="22256FC9"/>
    <w:rsid w:val="22296F81"/>
    <w:rsid w:val="22355B6E"/>
    <w:rsid w:val="22422E41"/>
    <w:rsid w:val="224B0307"/>
    <w:rsid w:val="226014A0"/>
    <w:rsid w:val="22837B15"/>
    <w:rsid w:val="22996B94"/>
    <w:rsid w:val="229D303A"/>
    <w:rsid w:val="22BD7457"/>
    <w:rsid w:val="22F54A23"/>
    <w:rsid w:val="22FB1D2D"/>
    <w:rsid w:val="231150AD"/>
    <w:rsid w:val="234B0F30"/>
    <w:rsid w:val="23AD175D"/>
    <w:rsid w:val="23D408C6"/>
    <w:rsid w:val="23DC6E7B"/>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9E4777"/>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E00A74"/>
    <w:rsid w:val="2BF22CB5"/>
    <w:rsid w:val="2C3A399C"/>
    <w:rsid w:val="2C4B08A3"/>
    <w:rsid w:val="2C701248"/>
    <w:rsid w:val="2C7E592F"/>
    <w:rsid w:val="2CD55510"/>
    <w:rsid w:val="2CF13C66"/>
    <w:rsid w:val="2D7C3427"/>
    <w:rsid w:val="2D861432"/>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7A6987"/>
    <w:rsid w:val="309F44FF"/>
    <w:rsid w:val="30AF2E9C"/>
    <w:rsid w:val="30BB1E83"/>
    <w:rsid w:val="30E4079A"/>
    <w:rsid w:val="31062E9F"/>
    <w:rsid w:val="311566B0"/>
    <w:rsid w:val="313F13AE"/>
    <w:rsid w:val="31406FDD"/>
    <w:rsid w:val="31482E34"/>
    <w:rsid w:val="31707DDD"/>
    <w:rsid w:val="31A579E7"/>
    <w:rsid w:val="31A90F01"/>
    <w:rsid w:val="31AB491E"/>
    <w:rsid w:val="31C86BDA"/>
    <w:rsid w:val="31CD2AE7"/>
    <w:rsid w:val="32396F25"/>
    <w:rsid w:val="32537C5D"/>
    <w:rsid w:val="327F0285"/>
    <w:rsid w:val="329830F5"/>
    <w:rsid w:val="32A63C80"/>
    <w:rsid w:val="32DA4724"/>
    <w:rsid w:val="32E43941"/>
    <w:rsid w:val="32EE540A"/>
    <w:rsid w:val="33502D99"/>
    <w:rsid w:val="335E5348"/>
    <w:rsid w:val="336D6EBA"/>
    <w:rsid w:val="337F0F1C"/>
    <w:rsid w:val="34045566"/>
    <w:rsid w:val="34181F9A"/>
    <w:rsid w:val="342530EF"/>
    <w:rsid w:val="34782B6D"/>
    <w:rsid w:val="34886716"/>
    <w:rsid w:val="34C2344F"/>
    <w:rsid w:val="34E07E4F"/>
    <w:rsid w:val="35247985"/>
    <w:rsid w:val="35297954"/>
    <w:rsid w:val="353A4937"/>
    <w:rsid w:val="358E1178"/>
    <w:rsid w:val="35A61FCC"/>
    <w:rsid w:val="35C80E21"/>
    <w:rsid w:val="35E8155D"/>
    <w:rsid w:val="35FD2C19"/>
    <w:rsid w:val="36000FDB"/>
    <w:rsid w:val="360D7950"/>
    <w:rsid w:val="36273670"/>
    <w:rsid w:val="367A4A92"/>
    <w:rsid w:val="367D0F7F"/>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727A6"/>
    <w:rsid w:val="38CE2BD5"/>
    <w:rsid w:val="38DF1EBC"/>
    <w:rsid w:val="38E5481F"/>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C375BF"/>
    <w:rsid w:val="3CD8637B"/>
    <w:rsid w:val="3CE23269"/>
    <w:rsid w:val="3CE85EE2"/>
    <w:rsid w:val="3D0009A1"/>
    <w:rsid w:val="3D2A34E3"/>
    <w:rsid w:val="3D3B749E"/>
    <w:rsid w:val="3D47402E"/>
    <w:rsid w:val="3D807BF4"/>
    <w:rsid w:val="3E057757"/>
    <w:rsid w:val="3E0C562A"/>
    <w:rsid w:val="3E223293"/>
    <w:rsid w:val="3E317495"/>
    <w:rsid w:val="3E9101DB"/>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683AEB"/>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5FE33CC"/>
    <w:rsid w:val="46077F91"/>
    <w:rsid w:val="46221FF1"/>
    <w:rsid w:val="46963A2E"/>
    <w:rsid w:val="469837E9"/>
    <w:rsid w:val="46DE35DF"/>
    <w:rsid w:val="46F71824"/>
    <w:rsid w:val="472F6B34"/>
    <w:rsid w:val="473F5DDD"/>
    <w:rsid w:val="47415DF9"/>
    <w:rsid w:val="476D241D"/>
    <w:rsid w:val="477771A3"/>
    <w:rsid w:val="478E6941"/>
    <w:rsid w:val="47C618D6"/>
    <w:rsid w:val="47C85937"/>
    <w:rsid w:val="47CE7B04"/>
    <w:rsid w:val="47F53BD6"/>
    <w:rsid w:val="484256D6"/>
    <w:rsid w:val="48545C58"/>
    <w:rsid w:val="48885DB2"/>
    <w:rsid w:val="48934611"/>
    <w:rsid w:val="48BD64DD"/>
    <w:rsid w:val="494B3E8B"/>
    <w:rsid w:val="49A63EF1"/>
    <w:rsid w:val="49D70C24"/>
    <w:rsid w:val="49FD67BC"/>
    <w:rsid w:val="4A003A88"/>
    <w:rsid w:val="4A0E5C1F"/>
    <w:rsid w:val="4A301A0D"/>
    <w:rsid w:val="4A383145"/>
    <w:rsid w:val="4A617E1F"/>
    <w:rsid w:val="4AA63EC3"/>
    <w:rsid w:val="4AB93531"/>
    <w:rsid w:val="4ACC6915"/>
    <w:rsid w:val="4B054C48"/>
    <w:rsid w:val="4B42402F"/>
    <w:rsid w:val="4B4B6F6D"/>
    <w:rsid w:val="4BBF129A"/>
    <w:rsid w:val="4BD25472"/>
    <w:rsid w:val="4C657056"/>
    <w:rsid w:val="4C6E544A"/>
    <w:rsid w:val="4D122BF3"/>
    <w:rsid w:val="4D387556"/>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8A0854"/>
    <w:rsid w:val="52902C3D"/>
    <w:rsid w:val="52967998"/>
    <w:rsid w:val="529B3314"/>
    <w:rsid w:val="52FF6DD9"/>
    <w:rsid w:val="534D59E4"/>
    <w:rsid w:val="535769C9"/>
    <w:rsid w:val="5373728D"/>
    <w:rsid w:val="53744FA3"/>
    <w:rsid w:val="539F391C"/>
    <w:rsid w:val="53AE1555"/>
    <w:rsid w:val="53C61A0F"/>
    <w:rsid w:val="53D0673A"/>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672DA3"/>
    <w:rsid w:val="576A2D9C"/>
    <w:rsid w:val="5789053F"/>
    <w:rsid w:val="57A50805"/>
    <w:rsid w:val="57B9191E"/>
    <w:rsid w:val="57CB3320"/>
    <w:rsid w:val="57DC48DE"/>
    <w:rsid w:val="57FB0599"/>
    <w:rsid w:val="57FF0273"/>
    <w:rsid w:val="58071B12"/>
    <w:rsid w:val="583B688C"/>
    <w:rsid w:val="583C5D29"/>
    <w:rsid w:val="586D6376"/>
    <w:rsid w:val="58831FCD"/>
    <w:rsid w:val="58A852D4"/>
    <w:rsid w:val="58B32DC7"/>
    <w:rsid w:val="58B513C4"/>
    <w:rsid w:val="58E10F36"/>
    <w:rsid w:val="58E3423C"/>
    <w:rsid w:val="593B4656"/>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191DD7"/>
    <w:rsid w:val="61245746"/>
    <w:rsid w:val="61710B30"/>
    <w:rsid w:val="617D634E"/>
    <w:rsid w:val="61824FF8"/>
    <w:rsid w:val="61923281"/>
    <w:rsid w:val="61926657"/>
    <w:rsid w:val="61D17319"/>
    <w:rsid w:val="61D5368A"/>
    <w:rsid w:val="61E32F96"/>
    <w:rsid w:val="61E91312"/>
    <w:rsid w:val="621023F8"/>
    <w:rsid w:val="622C569B"/>
    <w:rsid w:val="62326812"/>
    <w:rsid w:val="623B2220"/>
    <w:rsid w:val="623C62E9"/>
    <w:rsid w:val="62832BCA"/>
    <w:rsid w:val="628E2F58"/>
    <w:rsid w:val="62B60D78"/>
    <w:rsid w:val="62B64D4D"/>
    <w:rsid w:val="62B66AFB"/>
    <w:rsid w:val="62D91138"/>
    <w:rsid w:val="62DD15BF"/>
    <w:rsid w:val="62E5778B"/>
    <w:rsid w:val="62EF6B8B"/>
    <w:rsid w:val="62FA7330"/>
    <w:rsid w:val="6308114F"/>
    <w:rsid w:val="63253C81"/>
    <w:rsid w:val="633F33D0"/>
    <w:rsid w:val="63400F8F"/>
    <w:rsid w:val="634342A2"/>
    <w:rsid w:val="634C5A3F"/>
    <w:rsid w:val="636E6AFC"/>
    <w:rsid w:val="638F06B9"/>
    <w:rsid w:val="63A937FE"/>
    <w:rsid w:val="64343DCD"/>
    <w:rsid w:val="644266E4"/>
    <w:rsid w:val="6445282D"/>
    <w:rsid w:val="6454612A"/>
    <w:rsid w:val="64562CA2"/>
    <w:rsid w:val="64754395"/>
    <w:rsid w:val="647F12C0"/>
    <w:rsid w:val="64B67287"/>
    <w:rsid w:val="64D43BB1"/>
    <w:rsid w:val="64E562DD"/>
    <w:rsid w:val="64EE72F7"/>
    <w:rsid w:val="64FC314E"/>
    <w:rsid w:val="65107B03"/>
    <w:rsid w:val="652E5265"/>
    <w:rsid w:val="654145AA"/>
    <w:rsid w:val="654B66B5"/>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58493C"/>
    <w:rsid w:val="6A606CA7"/>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C846928"/>
    <w:rsid w:val="6CDC7272"/>
    <w:rsid w:val="6D2A440F"/>
    <w:rsid w:val="6D596CF4"/>
    <w:rsid w:val="6D5D0BE7"/>
    <w:rsid w:val="6D975C3C"/>
    <w:rsid w:val="6DBB1048"/>
    <w:rsid w:val="6DD4231C"/>
    <w:rsid w:val="6DE74955"/>
    <w:rsid w:val="6DF42310"/>
    <w:rsid w:val="6E054DDB"/>
    <w:rsid w:val="6E13665A"/>
    <w:rsid w:val="6E545DED"/>
    <w:rsid w:val="6E8977BA"/>
    <w:rsid w:val="6EBF08CD"/>
    <w:rsid w:val="6EED7D49"/>
    <w:rsid w:val="6EF357A9"/>
    <w:rsid w:val="6F03410B"/>
    <w:rsid w:val="6F122D5A"/>
    <w:rsid w:val="6F3821E5"/>
    <w:rsid w:val="6F4E2668"/>
    <w:rsid w:val="6F5F0058"/>
    <w:rsid w:val="6F6D70DC"/>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C046F"/>
    <w:rsid w:val="75005FD0"/>
    <w:rsid w:val="7504558C"/>
    <w:rsid w:val="7512724A"/>
    <w:rsid w:val="751678CE"/>
    <w:rsid w:val="75175073"/>
    <w:rsid w:val="75246458"/>
    <w:rsid w:val="752E6832"/>
    <w:rsid w:val="754B0FDA"/>
    <w:rsid w:val="755248A6"/>
    <w:rsid w:val="7552615C"/>
    <w:rsid w:val="75682860"/>
    <w:rsid w:val="7575312B"/>
    <w:rsid w:val="757565AD"/>
    <w:rsid w:val="758C6C69"/>
    <w:rsid w:val="75DD0CF5"/>
    <w:rsid w:val="75FA49E1"/>
    <w:rsid w:val="761E4C8C"/>
    <w:rsid w:val="76206B93"/>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BDF6C6B"/>
    <w:rsid w:val="7BE349AD"/>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C0957"/>
    <w:rsid w:val="7D7D04EA"/>
    <w:rsid w:val="7DB303AF"/>
    <w:rsid w:val="7DF42174"/>
    <w:rsid w:val="7E5C7CF2"/>
    <w:rsid w:val="7E8672F6"/>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24</Pages>
  <Words>5902</Words>
  <Characters>6065</Characters>
  <Lines>16</Lines>
  <Paragraphs>4</Paragraphs>
  <TotalTime>0</TotalTime>
  <ScaleCrop>false</ScaleCrop>
  <LinksUpToDate>false</LinksUpToDate>
  <CharactersWithSpaces>6532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2025-12-24T07:47:33Z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982360D242724F43A44A259A6EEF2D55_13</vt:lpwstr>
  </property>
  <property fmtid="{D5CDD505-2E9C-101B-9397-08002B2CF9AE}" pid="4" name="KSOTemplateDocerSaveRecord">
    <vt:lpwstr>eyJoZGlkIjoiNjU5NzNkNThjM2FhY2Q5MWY4NTI3MzQ2MDYzMmQ3YzAiLCJ1c2VySWQiOiIxNTA4NjAyOTExIn0=</vt:lpwstr>
  </property>
</Properties>
</file>