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F963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 1 ：比选申请文件格式</w:t>
      </w:r>
    </w:p>
    <w:p w14:paraId="5C65E065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02EAC08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三明城发居敬康养产业发展有限公司</w:t>
      </w:r>
      <w:r>
        <w:rPr>
          <w:rFonts w:hint="eastAsia"/>
          <w:color w:val="auto"/>
          <w:highlight w:val="none"/>
        </w:rPr>
        <w:t>（比选人）：</w:t>
      </w:r>
    </w:p>
    <w:p w14:paraId="6D95B67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智能化工程施工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>金澜湾展厅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智能化工程施工</w:t>
      </w:r>
      <w:r>
        <w:rPr>
          <w:rFonts w:hint="eastAsia"/>
          <w:color w:val="auto"/>
          <w:highlight w:val="none"/>
        </w:rPr>
        <w:t>比选提出申请。我公司将接受并遵守比选公告所规定的各项条款，并提供以下比选申请文件</w:t>
      </w:r>
      <w:r>
        <w:rPr>
          <w:rFonts w:hint="eastAsia"/>
          <w:color w:val="auto"/>
          <w:highlight w:val="none"/>
          <w:lang w:eastAsia="zh-CN"/>
        </w:rPr>
        <w:t>：</w:t>
      </w:r>
    </w:p>
    <w:p w14:paraId="212781CA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6F83B14F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3459048C"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715B345C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0FC1C324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承诺我公司及其拟派出的人员未被依法禁止投标、未存在财产被冻结或接管的情况或处于从业限制期限内、未被人民法院列为“失信被执行人”、未被工商行政管理机关列入“严重违法失信企业名单”。</w:t>
      </w:r>
    </w:p>
    <w:p w14:paraId="51B219E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</w:t>
      </w:r>
      <w:r>
        <w:rPr>
          <w:rFonts w:hint="eastAsia"/>
          <w:color w:val="auto"/>
          <w:highlight w:val="none"/>
          <w:lang w:val="en-US" w:eastAsia="zh-CN"/>
        </w:rPr>
        <w:t>公告规定及要求与比选人签订合同；</w:t>
      </w:r>
    </w:p>
    <w:p w14:paraId="576DDFD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3291AC8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728E25B3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</w:t>
      </w:r>
      <w:r>
        <w:rPr>
          <w:rFonts w:hint="eastAsia"/>
          <w:color w:val="auto"/>
          <w:highlight w:val="non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highlight w:val="none"/>
        </w:rPr>
        <w:t>  </w:t>
      </w:r>
    </w:p>
    <w:p w14:paraId="3B7F596D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24677B5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7B5829BD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578A1F8D"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068250F4"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1DCB1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6281C01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 w14:paraId="1EB05F6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38FF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0FD6E160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 w14:paraId="735ACC6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1D8130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 w14:paraId="5BF6DB7B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7B6C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6013EBC6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 w14:paraId="022101AD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5DE3E40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 w14:paraId="16A2C40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4C41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5A8751D1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 w14:paraId="3B114C43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3917BA91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 w14:paraId="16882C61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3A65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 w14:paraId="5F7352B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 w14:paraId="176DDDF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DEBAFD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 w14:paraId="0B020BD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A7D9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 w14:paraId="089E323B"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30BA258A"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13B3F7FA"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19A12B3B"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 w14:paraId="7EF05EB5">
      <w:pPr>
        <w:pStyle w:val="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 w14:paraId="35B8F467">
      <w:pPr>
        <w:pStyle w:val="9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9E89B06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  <w:t> </w:t>
      </w:r>
    </w:p>
    <w:p w14:paraId="1FE6F8F5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7E5692A0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须附上营业执照、资质证书（如有）的复印件，并加盖单位公章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36FE9EF5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比选申请人需提供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企业与法人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未被列为“失信被执行人”（全国法院失信被执行人名单信息公布与查询平台（网址：shixin.court.gov.cn））、未被工商行政管理机关列入“严重违法失信企业名单”（全国企业信用信息公示系统查询（网址：www.gsxt.gov.cn））</w:t>
      </w:r>
      <w:r>
        <w:rPr>
          <w:rFonts w:hint="eastAsia" w:ascii="宋体" w:hAnsi="宋体" w:eastAsia="宋体" w:cs="宋体"/>
          <w:b/>
          <w:bCs w:val="0"/>
          <w:color w:val="auto"/>
          <w:sz w:val="22"/>
          <w:szCs w:val="22"/>
          <w:highlight w:val="none"/>
          <w:u w:val="none"/>
          <w:lang w:val="en-US" w:eastAsia="zh-CN"/>
        </w:rPr>
        <w:t>截图证明并加盖单位公章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。</w:t>
      </w:r>
    </w:p>
    <w:p w14:paraId="512F7EF1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2"/>
          <w:szCs w:val="22"/>
          <w:highlight w:val="none"/>
          <w:u w:val="none"/>
          <w:lang w:val="en-US"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highlight w:val="none"/>
          <w:u w:val="none"/>
        </w:rPr>
        <w:t>。</w:t>
      </w:r>
    </w:p>
    <w:p w14:paraId="60366D88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AFA8E5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3514CAF5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62975B0A"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0CA9C196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居敬康养智能化工程施工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1BC12C2A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5225A5AD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0C55951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C13D80F"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7CBFFFB3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E93571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02A3A1CB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8DE91B4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2977716B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2116C742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6F14A673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672188B9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1C0B900D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3E1B6285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</w:pPr>
    </w:p>
    <w:p w14:paraId="0ACDE63A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/>
          <w:color w:val="auto"/>
          <w:sz w:val="24"/>
          <w:szCs w:val="24"/>
          <w:highlight w:val="none"/>
          <w:u w:val="none"/>
        </w:rPr>
      </w:pPr>
    </w:p>
    <w:p w14:paraId="5143DFB9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06199A0A">
      <w:pPr>
        <w:rPr>
          <w:color w:val="auto"/>
          <w:sz w:val="24"/>
          <w:szCs w:val="24"/>
          <w:highlight w:val="none"/>
          <w:u w:val="none"/>
        </w:rPr>
      </w:pPr>
    </w:p>
    <w:p w14:paraId="5927754E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8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6557"/>
      </w:tblGrid>
      <w:tr w14:paraId="6CB4E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F6F40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43A325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金澜湾展厅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智能化工程施工</w:t>
            </w:r>
          </w:p>
        </w:tc>
      </w:tr>
      <w:tr w14:paraId="768D22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9E6C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D74D8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D87D2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C43E9E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CE2CD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（金额填写至小数点后两位）</w:t>
            </w:r>
          </w:p>
        </w:tc>
      </w:tr>
      <w:tr w14:paraId="73A1EA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CBC1A6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4F2E71C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收到比选人通知后20日历天内完成。</w:t>
            </w:r>
          </w:p>
        </w:tc>
      </w:tr>
      <w:tr w14:paraId="7145C7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0B3113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5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4571B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6889D70F">
      <w:pPr>
        <w:pStyle w:val="6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2F898DA3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3E9CECE6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807B2E6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925B12E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95401A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235C81F7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2A9AB836"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F02B2C0">
      <w:pPr>
        <w:rPr>
          <w:rFonts w:hint="eastAsia"/>
          <w:color w:val="auto"/>
          <w:highlight w:val="none"/>
          <w:lang w:val="en-US" w:eastAsia="zh-CN"/>
        </w:rPr>
      </w:pPr>
    </w:p>
    <w:p w14:paraId="629BCFE3">
      <w:pPr>
        <w:rPr>
          <w:rFonts w:hint="eastAsia"/>
          <w:color w:val="auto"/>
        </w:rPr>
      </w:pPr>
    </w:p>
    <w:p w14:paraId="60BD914B">
      <w:pPr>
        <w:rPr>
          <w:rFonts w:hint="eastAsia"/>
          <w:color w:val="auto"/>
        </w:rPr>
      </w:pPr>
    </w:p>
    <w:p w14:paraId="2419C643">
      <w:pPr>
        <w:rPr>
          <w:rFonts w:hint="eastAsia"/>
          <w:color w:val="auto"/>
        </w:rPr>
      </w:pPr>
    </w:p>
    <w:p w14:paraId="248B35A3">
      <w:pPr>
        <w:rPr>
          <w:rFonts w:hint="eastAsia"/>
          <w:color w:val="auto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31D41B80">
      <w:pPr>
        <w:rPr>
          <w:rFonts w:hint="eastAsia"/>
          <w:color w:val="auto"/>
        </w:rPr>
      </w:pPr>
    </w:p>
    <w:p w14:paraId="0DEAD9DE">
      <w:pPr>
        <w:rPr>
          <w:rFonts w:hint="eastAsia"/>
          <w:color w:val="auto"/>
        </w:rPr>
      </w:pPr>
    </w:p>
    <w:p w14:paraId="7EC44D02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7"/>
        <w:tblpPr w:leftFromText="180" w:rightFromText="180" w:vertAnchor="text" w:horzAnchor="page" w:tblpX="1440" w:tblpY="787"/>
        <w:tblOverlap w:val="never"/>
        <w:tblW w:w="13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1"/>
        <w:gridCol w:w="981"/>
        <w:gridCol w:w="6900"/>
        <w:gridCol w:w="1363"/>
        <w:gridCol w:w="950"/>
        <w:gridCol w:w="1162"/>
        <w:gridCol w:w="1250"/>
        <w:gridCol w:w="25"/>
        <w:gridCol w:w="956"/>
      </w:tblGrid>
      <w:tr w14:paraId="7DC84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8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B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金澜湾展厅智能化清单</w:t>
            </w:r>
          </w:p>
        </w:tc>
      </w:tr>
      <w:tr w14:paraId="73C9A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8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B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一、拼接屏系统</w:t>
            </w:r>
          </w:p>
        </w:tc>
      </w:tr>
      <w:tr w14:paraId="6D6C1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80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0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名称型号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9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01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D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69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6A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不含税合价（元）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B0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推荐品牌</w:t>
            </w:r>
          </w:p>
        </w:tc>
      </w:tr>
      <w:tr w14:paraId="7F940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FE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0F0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65寸液晶拼接屏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06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 采用国产全新55A+寸液晶面板， 单屏尺寸：宽1433mm,高808mm                                       2. 液晶拼接屏的拼接缝隙≤3.5mm； 3. 液晶拼接屏的高亮度≥450cd/㎡；                                         4. 液晶拼接屏的对比度≥3500 ：1；                                                      5. 液晶拼接屏的物理分辨率 ≥1920x1080；                                         6. 液晶拼接屏的信号接口输入要求：≥1路VIDEO、1路VGA、1路DVI、1路HDMI；7. 液晶拼接屏的信号接口输出要求：≥1路VIDEO；8. 智能温控功能：可自行设定风扇开启温度值、风扇关闭温度值，以有效的保证风扇使用寿命；9. 预案管理功能：≥16组大屏显示预案、矩阵联动，支持预案轮巡，方便客户管理、使用；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6.含屏幕包边；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7.含供电线路改造，长度现场踏勘，费用在此项中考虑；含大屏专用视频线缆，包括串口线、电源线、HDMI高清信号线 ，RS232控制线等；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8.含大屏拼接控制软件，费用在此项中考虑；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7.维保一年，费用在此项中考虑； 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AB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2F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5CB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0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8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海康、瀚博伟视、华亿</w:t>
            </w:r>
          </w:p>
        </w:tc>
      </w:tr>
      <w:tr w14:paraId="11B73C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B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1AC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高清拼接处理器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2E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工业级高清矩阵处理器，输入HDMI-8路，输出HDMI-12路，可实现8路高清信号在12台拼接屏上任意切换，任意拼接显示。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11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F2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39B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51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海康、瀚博伟视、华亿</w:t>
            </w:r>
          </w:p>
        </w:tc>
      </w:tr>
      <w:tr w14:paraId="4CDB1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0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B45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单排落地支架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D1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65寸专用定制落地支架3行4列，方便运输，结构设计合理，可根据现场环境上下，左右，前后全方位微调。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94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CF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5EE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0F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F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海康、瀚博伟视、华亿</w:t>
            </w:r>
          </w:p>
        </w:tc>
      </w:tr>
      <w:tr w14:paraId="4265B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8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0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二、无线WIF系统</w:t>
            </w:r>
          </w:p>
        </w:tc>
      </w:tr>
      <w:tr w14:paraId="5688B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5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AF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网关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8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1.固化8个千兆电口，2个千兆光口，标准1U设备，推荐带机终端400台，支持家宽场景的会话+流量综合负载均衡、内置状态检测防火墙，支持酒店投屏、支持Easy/IPsec/SSL VPN，酒店投屏数200、IPsec VPN服务端支持并发隧道数400、SSL VPN服务端支持并发隧道数100，支持Web认证、本地服务器认证，支持应用流控、支持整网管理应用会话抑制、应用流控、应用控制、URL阻断，支持应用路由、策略路由等多类型路由，支持睿易MACC云平台与睿易APP管理。IPTV支持(不支持做IPTV网关，仅支持IPTV报文转发)；带宽叠加支持(支持聚合接口和负载均衡方式提升带宽)；2.含安装设备、调试、维保一年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A9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5C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646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28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93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锐捷、华为、福润耐特</w:t>
            </w:r>
          </w:p>
        </w:tc>
      </w:tr>
      <w:tr w14:paraId="48F78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1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6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0E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1.24个10/100/1000Mbps自适应电口+2个10/100/1000Mbps自适应上联电口+2个1000Mbps上联SFP光口，其中24个口支持PoE/PoE+供电，整机最大PoE输出功率370W，交换容量336Gbps，包转发率92Mpps，网管型交换机，金属外壳，6kV防雷，机架式；2.含安装设备、调试、维保一年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B7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E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A1A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66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E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锐捷、华为、福润耐特</w:t>
            </w:r>
          </w:p>
        </w:tc>
      </w:tr>
      <w:tr w14:paraId="16C96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A7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FD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吸顶AP  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BBD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1.固定端口 1个10M/100M/1000M电口，支持PoE供电；传输协议 支持5GHz：802.11ax/a/n/ac和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2.4GHz：802.11ax/b/g/n同时工作；工作频段  2.4GHz：2.4 ~ 2.483GHz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5GHz：5.150-5.350GHz，5.725-5.850 GHz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传输速率 2.4G提供最高提供574Mbps的接入速率，5G提供最高提供2402Mbps的接入速率。整机提供2976Mbps的接入速率。整机支持4条空间流；2.4GHz：2x2，MIMO；5GHz：2x2，MIMO 带机数 整机推荐无线接入终端数80台；2.含安装设备、调试、维保一年等为完成安装所需的一切费用。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8A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1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E95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57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F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锐捷、华为、福润耐特</w:t>
            </w:r>
          </w:p>
        </w:tc>
      </w:tr>
      <w:tr w14:paraId="5D58D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6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2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六类网线安装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A3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含布线、布管等为完成安装所需的一切费用。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D6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9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1FB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7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DF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B4B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98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F7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三、监控系统</w:t>
            </w:r>
          </w:p>
        </w:tc>
      </w:tr>
      <w:tr w14:paraId="71A92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2E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4D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8C7E">
            <w:pPr>
              <w:keepNext w:val="0"/>
              <w:keepLines w:val="0"/>
              <w:widowControl/>
              <w:suppressLineNumbers w:val="0"/>
              <w:spacing w:after="200" w:afterAutospacing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1.400万白光全彩海螺型PoE网络摄像机；人形检测、智能补光、红外30m，白光20m ；超级智能编码、高清拾音；最高分辨率可达2560×1440 @25 fps，在该分辨率下可输出实时图像；支持背光补偿，强光抑制，3D数字降噪，数字宽动态；支持人形检测；支持开放型网络视频接口，ISAPI，SDK，GB28181协议；智能补光，支持白光/红外双补光，红外最远可达30 m，白光最远可达20m；1个内置麦克风；符合IP67防尘防水设计，可靠性高视频；供电方式：DC：12 V ± 25%，支持防反接保护 PoE：IEEE 802.3af，Class 3（DV2型号不支持）；2.含安装设备、调试、维保一年等为完成安装所需的一切费用。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7F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0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1C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7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80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海康、大华、宇视</w:t>
            </w:r>
          </w:p>
        </w:tc>
      </w:tr>
      <w:tr w14:paraId="2F703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A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9C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64路8盘位录像机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E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可接驳符合ONVIF、RTSP标准的众多主流厂商网络摄像机；支持接入H.265、Smart265、H.264、Smart264视频编码码流；解码性能强劲，最大支持12路1080P解码（开启SVC增强模式后，可提升至16路1080P解码）；支持800万像素高清网络视频的预览、存储与回放；支持HDMI与VGA同/异源输出，HDMI最大支持4K超高清显示输出，VGA支持1080P高清显示输出；自带8个SATA接口，最大支持满配10T硬盘；支持IP设备集中管理，包括IP设备一键添加、参数配置、批量升级、导入/导出等；最大支持16路本地同步回放； 针对人、车及事件类型，支持快速回放与检索功能，大幅提升录像回放和检索效率；网络接口：2个，RJ45 10M/100M/1000M自适应以太网口；串行接口：2个，RS-485半双工串行接口 1个，标准RS-232串行接口。视频接入路数：64；网络输入带宽：320Mbps；网络输出带宽：160Mps；录像分辨率：8MP/6MP/5MP/4MP/3MP/1080p/UXGA/720p/VGA/4CIF/DCIF/2CIF/CIF/QCIF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拾音器接入路数：16路；网络广播接入路数：8路；视频输出：1路HDMI，1路VGA；HDMI输出：4K（3840*2160）/30Hz, 2K（2560*1440）/60Hz， 1920*1080/60Hz，1600*1200/60Hz，1280*1024/60Hz，1280*720/60Hz；预览分屏：1/2/4/6/8/9/16/25/36/64画面；视频解码格式：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H.265;H.264;Smart264;Smart265；解码能力：12×1080P（开启SVC增强模式后，支持16×1080P）；同步回放：16；2.含安装设备、调试、维保一年等为完成安装所需的一切费用。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DE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3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972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0E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F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海康、大华、宇视</w:t>
            </w:r>
          </w:p>
        </w:tc>
      </w:tr>
      <w:tr w14:paraId="1CC797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9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8C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硬盘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356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1.8000G；2.含安装设备、调试、维保一年等为完成安装所需的一切费用。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8A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7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C0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14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5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海康、大华、宇视</w:t>
            </w:r>
          </w:p>
        </w:tc>
      </w:tr>
      <w:tr w14:paraId="796D9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CF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BD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POE交换机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E83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二层非网管交换机，交换容量52Gbps，包转发率39Mpps，24口10/100/1000Mbps自适应电口交换机（支持PoE/PoE+，PoE功率370W），固化2个SFP千兆光口，支持云端发现，云端查看设备状态；2.含安装设备、调试、维保一年等为完成安装所需的一切费用。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34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B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B20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2D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28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海康、大华、锐捷</w:t>
            </w:r>
          </w:p>
        </w:tc>
      </w:tr>
      <w:tr w14:paraId="5D8EB3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84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85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图腾墙装机柜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3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0.6*0.45*0.35m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02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C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4E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E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CC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76F9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0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E8E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六类网线安装</w:t>
            </w:r>
          </w:p>
        </w:tc>
        <w:tc>
          <w:tcPr>
            <w:tcW w:w="6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86AAB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F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E8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5B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900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74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82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8C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3F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19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A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3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8F2C9"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764BB70"/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5E873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F66BEE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F66BEE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0C23A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565A618"/>
    <w:multiLevelType w:val="singleLevel"/>
    <w:tmpl w:val="6565A61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B7BB7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C4F478E"/>
    <w:rsid w:val="3CA470BE"/>
    <w:rsid w:val="49385984"/>
    <w:rsid w:val="59C42BEB"/>
    <w:rsid w:val="5B165439"/>
    <w:rsid w:val="62DE6A8D"/>
    <w:rsid w:val="62FB7BB7"/>
    <w:rsid w:val="664B60ED"/>
    <w:rsid w:val="73BA52CD"/>
    <w:rsid w:val="74916507"/>
    <w:rsid w:val="76465513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2025-08-01T10:06:00Z</dcterms:created>
  <dc:creator>狗中贵族</dc:creator>
  <cp:lastModifiedBy>狗中贵族</cp:lastModifiedBy>
  <dcterms:modified xsi:type="dcterms:W3CDTF">2025-08-01T10:06:53Z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1D8854B536A849E386312137D51FB73B_11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