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48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kern w:val="0"/>
          <w:sz w:val="32"/>
          <w:szCs w:val="32"/>
          <w:u w:val="none"/>
          <w:shd w:val="clear" w:color="auto" w:fill="FFFFFF"/>
          <w:lang w:val="en-US" w:eastAsia="zh-CN" w:bidi="ar-SA"/>
        </w:rPr>
        <w:t>电梯维保清单</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1"/>
        <w:gridCol w:w="2930"/>
        <w:gridCol w:w="1819"/>
        <w:gridCol w:w="2560"/>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bottom"/>
              <w:rPr>
                <w:rFonts w:hint="eastAsia" w:ascii="宋体" w:hAnsi="宋体" w:eastAsia="宋体" w:cs="宋体"/>
                <w:b/>
                <w:bCs/>
                <w:i w:val="0"/>
                <w:iCs w:val="0"/>
                <w:color w:val="auto"/>
                <w:kern w:val="2"/>
                <w:sz w:val="24"/>
                <w:szCs w:val="24"/>
                <w:u w:val="none"/>
                <w:lang w:val="en-US" w:eastAsia="zh-CN" w:bidi="ar-SA"/>
              </w:rPr>
            </w:pPr>
            <w:r>
              <w:rPr>
                <w:rStyle w:val="10"/>
                <w:rFonts w:hint="eastAsia" w:ascii="宋体" w:hAnsi="宋体" w:cs="宋体"/>
                <w:b/>
                <w:bCs/>
                <w:color w:val="auto"/>
                <w:sz w:val="24"/>
                <w:szCs w:val="24"/>
                <w:lang w:val="en-US" w:eastAsia="zh-CN" w:bidi="ar"/>
              </w:rPr>
              <w:t>序号</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b/>
                <w:bCs/>
                <w:i w:val="0"/>
                <w:iCs w:val="0"/>
                <w:color w:val="auto"/>
                <w:kern w:val="2"/>
                <w:sz w:val="24"/>
                <w:szCs w:val="24"/>
                <w:u w:val="none"/>
                <w:lang w:val="en-US" w:eastAsia="zh-CN" w:bidi="ar-SA"/>
              </w:rPr>
            </w:pPr>
            <w:r>
              <w:rPr>
                <w:rStyle w:val="11"/>
                <w:rFonts w:hint="eastAsia" w:ascii="宋体" w:hAnsi="宋体" w:cs="宋体"/>
                <w:b/>
                <w:bCs/>
                <w:color w:val="auto"/>
                <w:sz w:val="24"/>
                <w:szCs w:val="24"/>
                <w:lang w:val="en-US" w:eastAsia="zh-CN" w:bidi="ar"/>
              </w:rPr>
              <w:t>电梯监察识别码</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b/>
                <w:bCs/>
                <w:i w:val="0"/>
                <w:iCs w:val="0"/>
                <w:color w:val="auto"/>
                <w:kern w:val="2"/>
                <w:sz w:val="24"/>
                <w:szCs w:val="24"/>
                <w:u w:val="none"/>
                <w:lang w:val="en-US" w:eastAsia="zh-CN" w:bidi="ar-SA"/>
              </w:rPr>
            </w:pPr>
            <w:r>
              <w:rPr>
                <w:rStyle w:val="12"/>
                <w:rFonts w:hint="eastAsia" w:ascii="宋体" w:hAnsi="宋体" w:cs="宋体"/>
                <w:b/>
                <w:bCs/>
                <w:color w:val="auto"/>
                <w:sz w:val="24"/>
                <w:szCs w:val="24"/>
                <w:lang w:val="en-US" w:eastAsia="zh-CN" w:bidi="ar"/>
              </w:rPr>
              <w:t>出厂编号</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eastAsia" w:ascii="宋体" w:hAnsi="宋体" w:eastAsia="宋体" w:cs="宋体"/>
                <w:b/>
                <w:bCs/>
                <w:i w:val="0"/>
                <w:iCs w:val="0"/>
                <w:color w:val="auto"/>
                <w:kern w:val="2"/>
                <w:sz w:val="24"/>
                <w:szCs w:val="24"/>
                <w:u w:val="none"/>
                <w:lang w:val="en-US" w:eastAsia="zh-CN" w:bidi="ar-SA"/>
              </w:rPr>
            </w:pPr>
            <w:r>
              <w:rPr>
                <w:rStyle w:val="12"/>
                <w:rFonts w:hint="eastAsia" w:ascii="宋体" w:hAnsi="宋体" w:cs="宋体"/>
                <w:b/>
                <w:bCs/>
                <w:color w:val="auto"/>
                <w:sz w:val="24"/>
                <w:szCs w:val="24"/>
                <w:lang w:val="en-US" w:eastAsia="zh-CN" w:bidi="ar"/>
              </w:rPr>
              <w:t>楼层（直梯）</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Style w:val="13"/>
                <w:rFonts w:hint="eastAsia" w:ascii="宋体" w:hAnsi="宋体" w:eastAsia="宋体" w:cs="宋体"/>
                <w:b/>
                <w:bCs/>
                <w:color w:val="auto"/>
                <w:sz w:val="24"/>
                <w:szCs w:val="24"/>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1</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TG26661</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K3020490</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29</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2</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TG26662</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K3020491</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29</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3</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TG26663</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K3020492</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29</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4</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TG26664</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K3020493</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29</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5</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TG26665</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K3020495</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27</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6</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TG26667</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K3020494</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27</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7</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TG26666</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K3020496</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18</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8</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TG26669</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K3020497</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18</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9</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TG26668</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K3020499</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18</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10</w:t>
            </w:r>
          </w:p>
        </w:tc>
        <w:tc>
          <w:tcPr>
            <w:tcW w:w="1471"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TG26670</w:t>
            </w:r>
          </w:p>
        </w:tc>
        <w:tc>
          <w:tcPr>
            <w:tcW w:w="913"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K3020498</w:t>
            </w:r>
          </w:p>
        </w:tc>
        <w:tc>
          <w:tcPr>
            <w:tcW w:w="1285"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18</w:t>
            </w:r>
          </w:p>
        </w:tc>
        <w:tc>
          <w:tcPr>
            <w:tcW w:w="540" w:type="pct"/>
            <w:noWrap w:val="0"/>
            <w:vAlign w:val="center"/>
          </w:tcPr>
          <w:p>
            <w:pPr>
              <w:keepNext w:val="0"/>
              <w:keepLines w:val="0"/>
              <w:pageBreakBefore w:val="0"/>
              <w:widowControl/>
              <w:suppressLineNumbers w:val="0"/>
              <w:kinsoku/>
              <w:wordWrap/>
              <w:overflowPunct/>
              <w:topLinePunct w:val="0"/>
              <w:bidi w:val="0"/>
              <w:spacing w:line="480" w:lineRule="exact"/>
              <w:jc w:val="left"/>
              <w:textAlignment w:val="center"/>
              <w:rPr>
                <w:rStyle w:val="14"/>
                <w:rFonts w:hint="eastAsia" w:ascii="宋体" w:hAnsi="宋体" w:eastAsia="宋体" w:cs="宋体"/>
                <w:color w:val="auto"/>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5" w:hRule="atLeast"/>
        </w:trPr>
        <w:tc>
          <w:tcPr>
            <w:tcW w:w="789" w:type="pct"/>
            <w:noWrap w:val="0"/>
            <w:vAlign w:val="center"/>
          </w:tcPr>
          <w:p>
            <w:pPr>
              <w:keepNext w:val="0"/>
              <w:keepLines w:val="0"/>
              <w:pageBreakBefore w:val="0"/>
              <w:widowControl/>
              <w:suppressLineNumbers w:val="0"/>
              <w:kinsoku/>
              <w:wordWrap/>
              <w:overflowPunct/>
              <w:topLinePunct w:val="0"/>
              <w:bidi w:val="0"/>
              <w:spacing w:line="480" w:lineRule="exact"/>
              <w:jc w:val="center"/>
              <w:textAlignment w:val="center"/>
              <w:rPr>
                <w:rFonts w:hint="default" w:ascii="宋体" w:hAnsi="宋体" w:cs="宋体"/>
                <w:i w:val="0"/>
                <w:iCs w:val="0"/>
                <w:color w:val="auto"/>
                <w:kern w:val="2"/>
                <w:sz w:val="24"/>
                <w:szCs w:val="24"/>
                <w:u w:val="none"/>
                <w:lang w:val="en-US" w:eastAsia="zh-CN" w:bidi="ar-SA"/>
              </w:rPr>
            </w:pPr>
            <w:r>
              <w:rPr>
                <w:rFonts w:hint="eastAsia" w:ascii="宋体" w:hAnsi="宋体" w:cs="宋体"/>
                <w:i w:val="0"/>
                <w:iCs w:val="0"/>
                <w:color w:val="auto"/>
                <w:kern w:val="2"/>
                <w:sz w:val="24"/>
                <w:szCs w:val="24"/>
                <w:u w:val="none"/>
                <w:lang w:val="en-US" w:eastAsia="zh-CN" w:bidi="ar-SA"/>
              </w:rPr>
              <w:t>维修内容</w:t>
            </w:r>
          </w:p>
        </w:tc>
        <w:tc>
          <w:tcPr>
            <w:tcW w:w="4210" w:type="pct"/>
            <w:gridSpan w:val="4"/>
            <w:noWrap w:val="0"/>
            <w:vAlign w:val="center"/>
          </w:tcPr>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4部电梯导轨校正5400sc内呼显示板1块（57640502）；</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5200内呼显示板块1块（57062810）；</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5400蓄电池一个（59711431）；</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无线五方通话机房分机1个；</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轿厢照明筒灯6个（外径100,内筒直径70）；</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缓冲器开关4个（57664997）；</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张紧轮开关2个（57018092）；</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底坑五方通话分机2个（57627927）；</w:t>
            </w:r>
          </w:p>
          <w:p>
            <w:pPr>
              <w:keepNext w:val="0"/>
              <w:keepLines w:val="0"/>
              <w:pageBreakBefore w:val="0"/>
              <w:widowControl/>
              <w:suppressLineNumbers w:val="0"/>
              <w:kinsoku/>
              <w:wordWrap/>
              <w:overflowPunct/>
              <w:topLinePunct w:val="0"/>
              <w:bidi w:val="0"/>
              <w:spacing w:line="480" w:lineRule="exact"/>
              <w:jc w:val="both"/>
              <w:textAlignment w:val="center"/>
              <w:rPr>
                <w:rStyle w:val="14"/>
                <w:rFonts w:hint="eastAsia" w:ascii="宋体" w:hAnsi="宋体" w:eastAsia="宋体" w:cs="宋体"/>
                <w:color w:val="auto"/>
                <w:sz w:val="24"/>
                <w:szCs w:val="24"/>
                <w:lang w:val="en-US" w:eastAsia="zh-CN" w:bidi="ar"/>
              </w:rPr>
            </w:pPr>
            <w:r>
              <w:rPr>
                <w:rStyle w:val="14"/>
                <w:rFonts w:hint="eastAsia" w:ascii="宋体" w:hAnsi="宋体" w:eastAsia="宋体" w:cs="宋体"/>
                <w:color w:val="auto"/>
                <w:sz w:val="24"/>
                <w:szCs w:val="24"/>
                <w:lang w:val="en-US" w:eastAsia="zh-CN" w:bidi="ar"/>
              </w:rPr>
              <w:t>底坑急停2个（59712125）。</w:t>
            </w:r>
          </w:p>
        </w:tc>
      </w:tr>
    </w:tbl>
    <w:p>
      <w:pPr>
        <w:keepNext w:val="0"/>
        <w:keepLines w:val="0"/>
        <w:pageBreakBefore w:val="0"/>
        <w:kinsoku/>
        <w:wordWrap/>
        <w:overflowPunct/>
        <w:topLinePunct w:val="0"/>
        <w:bidi w:val="0"/>
        <w:spacing w:line="480" w:lineRule="exact"/>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6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福建东南设计集团有限公司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长兴苑项目电梯维保单位</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长兴苑项目电梯维保单位</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rFonts w:hint="eastAsia"/>
          <w:color w:val="auto"/>
          <w:highlight w:val="none"/>
          <w:lang w:eastAsia="zh-CN"/>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pPr>
        <w:pStyle w:val="15"/>
        <w:keepNext w:val="0"/>
        <w:keepLines w:val="0"/>
        <w:pageBreakBefore w:val="0"/>
        <w:kinsoku/>
        <w:wordWrap/>
        <w:overflowPunct/>
        <w:topLinePunct w:val="0"/>
        <w:bidi w:val="0"/>
        <w:spacing w:before="312" w:beforeLines="100" w:line="480" w:lineRule="exact"/>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5"/>
        <w:keepNext w:val="0"/>
        <w:keepLines w:val="0"/>
        <w:pageBreakBefore w:val="0"/>
        <w:kinsoku/>
        <w:wordWrap/>
        <w:overflowPunct/>
        <w:topLinePunct w:val="0"/>
        <w:bidi w:val="0"/>
        <w:spacing w:before="312" w:beforeLines="100" w:line="480" w:lineRule="exact"/>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c>
          <w:tcPr>
            <w:tcW w:w="14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c>
          <w:tcPr>
            <w:tcW w:w="14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c>
          <w:tcPr>
            <w:tcW w:w="14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c>
          <w:tcPr>
            <w:tcW w:w="1440"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5"/>
              <w:keepNext w:val="0"/>
              <w:keepLines w:val="0"/>
              <w:pageBreakBefore w:val="0"/>
              <w:kinsoku/>
              <w:wordWrap/>
              <w:overflowPunct/>
              <w:topLinePunct w:val="0"/>
              <w:bidi w:val="0"/>
              <w:spacing w:line="480" w:lineRule="exact"/>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5"/>
              <w:keepNext w:val="0"/>
              <w:keepLines w:val="0"/>
              <w:pageBreakBefore w:val="0"/>
              <w:kinsoku/>
              <w:wordWrap/>
              <w:overflowPunct/>
              <w:topLinePunct w:val="0"/>
              <w:bidi w:val="0"/>
              <w:spacing w:line="480" w:lineRule="exact"/>
              <w:rPr>
                <w:rFonts w:hint="eastAsia" w:ascii="宋体" w:cs="仿宋_GB2312"/>
                <w:color w:val="auto"/>
                <w:spacing w:val="14"/>
                <w:szCs w:val="21"/>
                <w:highlight w:val="none"/>
              </w:rPr>
            </w:pPr>
          </w:p>
          <w:p>
            <w:pPr>
              <w:pStyle w:val="15"/>
              <w:keepNext w:val="0"/>
              <w:keepLines w:val="0"/>
              <w:pageBreakBefore w:val="0"/>
              <w:kinsoku/>
              <w:wordWrap/>
              <w:overflowPunct/>
              <w:topLinePunct w:val="0"/>
              <w:bidi w:val="0"/>
              <w:spacing w:line="480" w:lineRule="exact"/>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5"/>
        <w:keepNext w:val="0"/>
        <w:keepLines w:val="0"/>
        <w:pageBreakBefore w:val="0"/>
        <w:kinsoku/>
        <w:wordWrap/>
        <w:overflowPunct/>
        <w:topLinePunct w:val="0"/>
        <w:bidi w:val="0"/>
        <w:spacing w:line="480" w:lineRule="exact"/>
        <w:rPr>
          <w:rFonts w:hint="eastAsia" w:ascii="宋体" w:cs="仿宋_GB2312"/>
          <w:color w:val="auto"/>
          <w:spacing w:val="14"/>
          <w:sz w:val="24"/>
          <w:highlight w:val="none"/>
        </w:rPr>
      </w:pPr>
    </w:p>
    <w:p>
      <w:pPr>
        <w:pStyle w:val="15"/>
        <w:keepNext w:val="0"/>
        <w:keepLines w:val="0"/>
        <w:pageBreakBefore w:val="0"/>
        <w:kinsoku/>
        <w:wordWrap/>
        <w:overflowPunct/>
        <w:topLinePunct w:val="0"/>
        <w:autoSpaceDE w:val="0"/>
        <w:autoSpaceDN w:val="0"/>
        <w:bidi w:val="0"/>
        <w:snapToGrid w:val="0"/>
        <w:spacing w:line="480" w:lineRule="exact"/>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5"/>
        <w:keepNext w:val="0"/>
        <w:keepLines w:val="0"/>
        <w:pageBreakBefore w:val="0"/>
        <w:kinsoku/>
        <w:wordWrap/>
        <w:overflowPunct/>
        <w:topLinePunct w:val="0"/>
        <w:autoSpaceDE w:val="0"/>
        <w:autoSpaceDN w:val="0"/>
        <w:bidi w:val="0"/>
        <w:snapToGrid w:val="0"/>
        <w:spacing w:line="480" w:lineRule="exact"/>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5"/>
        <w:keepNext w:val="0"/>
        <w:keepLines w:val="0"/>
        <w:pageBreakBefore w:val="0"/>
        <w:kinsoku/>
        <w:wordWrap/>
        <w:overflowPunct/>
        <w:topLinePunct w:val="0"/>
        <w:autoSpaceDE w:val="0"/>
        <w:autoSpaceDN w:val="0"/>
        <w:bidi w:val="0"/>
        <w:snapToGrid w:val="0"/>
        <w:spacing w:line="480" w:lineRule="exact"/>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80" w:lineRule="exact"/>
        <w:textAlignment w:val="auto"/>
        <w:rPr>
          <w:rFonts w:hint="eastAsia"/>
          <w:color w:val="auto"/>
          <w:sz w:val="32"/>
          <w:szCs w:val="32"/>
          <w:highlight w:val="none"/>
        </w:rPr>
      </w:pPr>
      <w:r>
        <w:rPr>
          <w:rFonts w:hint="eastAsia"/>
          <w:color w:val="auto"/>
          <w:sz w:val="32"/>
          <w:szCs w:val="32"/>
          <w:highlight w:val="none"/>
        </w:rPr>
        <w:t> </w:t>
      </w:r>
    </w:p>
    <w:p>
      <w:pPr>
        <w:pStyle w:val="2"/>
        <w:keepNext w:val="0"/>
        <w:keepLines w:val="0"/>
        <w:pageBreakBefore w:val="0"/>
        <w:widowControl w:val="0"/>
        <w:tabs>
          <w:tab w:val="left" w:pos="1000"/>
        </w:tabs>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hAnsi="宋体" w:eastAsia="宋体" w:cs="宋体"/>
          <w:b/>
          <w:bCs w:val="0"/>
          <w:color w:val="auto"/>
          <w:szCs w:val="21"/>
          <w:highlight w:val="none"/>
          <w:u w:val="none"/>
          <w:lang w:eastAsia="zh-CN"/>
        </w:rPr>
        <w:t>；</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val="0"/>
          <w:color w:val="auto"/>
          <w:szCs w:val="21"/>
          <w:highlight w:val="none"/>
          <w:u w:val="none"/>
          <w:lang w:eastAsia="zh-CN"/>
        </w:rPr>
      </w:pPr>
      <w:r>
        <w:rPr>
          <w:rFonts w:hint="eastAsia" w:ascii="宋体" w:hAnsi="宋体" w:eastAsia="宋体" w:cs="宋体"/>
          <w:b/>
          <w:bCs w:val="0"/>
          <w:color w:val="auto"/>
          <w:szCs w:val="21"/>
          <w:highlight w:val="none"/>
          <w:u w:val="double"/>
          <w:lang w:eastAsia="zh-CN"/>
        </w:rPr>
        <w:t>比选申请人应提供合法有效的《中华人民共和国特种设备生产许可证》，且曳引驱动乘客电梯（含消防员电梯）许可级别B级（含）以上</w:t>
      </w:r>
      <w:r>
        <w:rPr>
          <w:rFonts w:hint="eastAsia" w:ascii="宋体" w:hAnsi="宋体" w:eastAsia="宋体" w:cs="宋体"/>
          <w:b/>
          <w:bCs w:val="0"/>
          <w:color w:val="auto"/>
          <w:szCs w:val="21"/>
          <w:highlight w:val="none"/>
          <w:u w:val="none"/>
          <w:lang w:eastAsia="zh-CN"/>
        </w:rPr>
        <w:t>；</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比选申请人应具备市场监督管理局维修保养备案证明，以市场监督管理局</w:t>
      </w:r>
      <w:r>
        <w:rPr>
          <w:rFonts w:hint="eastAsia" w:ascii="宋体" w:hAnsi="宋体" w:eastAsia="宋体" w:cs="宋体"/>
          <w:b/>
          <w:bCs w:val="0"/>
          <w:color w:val="auto"/>
          <w:szCs w:val="21"/>
          <w:highlight w:val="none"/>
          <w:u w:val="double"/>
          <w:lang w:val="en-US" w:eastAsia="zh-CN"/>
        </w:rPr>
        <w:t>2023年</w:t>
      </w:r>
      <w:r>
        <w:rPr>
          <w:rFonts w:hint="eastAsia" w:ascii="宋体" w:hAnsi="宋体" w:eastAsia="宋体" w:cs="宋体"/>
          <w:b/>
          <w:bCs w:val="0"/>
          <w:color w:val="auto"/>
          <w:szCs w:val="21"/>
          <w:highlight w:val="none"/>
          <w:u w:val="double"/>
          <w:lang w:eastAsia="zh-CN"/>
        </w:rPr>
        <w:t>最新公布的“电梯维保单位基本情况暨告知汇总表”复印件为准</w:t>
      </w:r>
      <w:r>
        <w:rPr>
          <w:rFonts w:hint="eastAsia" w:ascii="宋体" w:hAnsi="宋体" w:eastAsia="宋体" w:cs="宋体"/>
          <w:b/>
          <w:bCs w:val="0"/>
          <w:color w:val="auto"/>
          <w:szCs w:val="21"/>
          <w:highlight w:val="none"/>
          <w:u w:val="none"/>
          <w:lang w:eastAsia="zh-CN"/>
        </w:rPr>
        <w:t>；</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val="0"/>
          <w:color w:val="auto"/>
          <w:szCs w:val="21"/>
          <w:highlight w:val="none"/>
          <w:u w:val="none"/>
          <w:lang w:eastAsia="zh-CN"/>
        </w:rPr>
      </w:pPr>
      <w:r>
        <w:rPr>
          <w:rFonts w:hint="eastAsia" w:ascii="宋体" w:hAnsi="宋体" w:eastAsia="宋体" w:cs="宋体"/>
          <w:b/>
          <w:bCs w:val="0"/>
          <w:color w:val="auto"/>
          <w:szCs w:val="21"/>
          <w:highlight w:val="none"/>
          <w:u w:val="double"/>
          <w:lang w:eastAsia="zh-CN"/>
        </w:rPr>
        <w:t>比选申请人应取得市场监督管理局公布的2023年度电梯中选人质量信用等级评价B级及以上证明文件复印件</w:t>
      </w:r>
      <w:r>
        <w:rPr>
          <w:rFonts w:hint="eastAsia" w:ascii="宋体" w:hAnsi="宋体" w:eastAsia="宋体" w:cs="宋体"/>
          <w:b/>
          <w:bCs w:val="0"/>
          <w:color w:val="auto"/>
          <w:szCs w:val="21"/>
          <w:highlight w:val="none"/>
          <w:u w:val="none"/>
          <w:lang w:eastAsia="zh-CN"/>
        </w:rPr>
        <w:t>；</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比选申请人及其现任法定代表人未被列入全国失信被执行人名单截图证明</w:t>
      </w:r>
      <w:r>
        <w:rPr>
          <w:rFonts w:hint="eastAsia" w:ascii="宋体" w:hAnsi="宋体" w:eastAsia="宋体" w:cs="宋体"/>
          <w:b/>
          <w:bCs w:val="0"/>
          <w:color w:val="auto"/>
          <w:szCs w:val="21"/>
          <w:highlight w:val="none"/>
          <w:u w:val="none"/>
          <w:lang w:eastAsia="zh-CN"/>
        </w:rPr>
        <w:t>；</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b/>
          <w:color w:val="auto"/>
          <w:sz w:val="24"/>
          <w:szCs w:val="24"/>
          <w:highlight w:val="none"/>
          <w:lang w:val="en-US" w:eastAsia="zh-CN"/>
        </w:rPr>
      </w:pPr>
      <w:r>
        <w:rPr>
          <w:rFonts w:hint="eastAsia" w:ascii="宋体" w:hAnsi="宋体" w:eastAsia="宋体" w:cs="宋体"/>
          <w:b/>
          <w:bCs w:val="0"/>
          <w:color w:val="auto"/>
          <w:szCs w:val="21"/>
          <w:highlight w:val="none"/>
          <w:u w:val="double"/>
          <w:lang w:eastAsia="zh-CN"/>
        </w:rPr>
        <w:t>上述所有复印件均须加盖比选申请人公章</w:t>
      </w:r>
      <w:r>
        <w:rPr>
          <w:rFonts w:hint="eastAsia" w:ascii="宋体" w:hAnsi="宋体" w:eastAsia="宋体" w:cs="宋体"/>
          <w:b/>
          <w:bCs w:val="0"/>
          <w:color w:val="auto"/>
          <w:szCs w:val="21"/>
          <w:highlight w:val="none"/>
          <w:u w:val="none"/>
          <w:lang w:eastAsia="zh-CN"/>
        </w:rPr>
        <w:t>；</w:t>
      </w:r>
    </w:p>
    <w:p>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360" w:lineRule="exact"/>
        <w:ind w:firstLine="422" w:firstLineChars="200"/>
        <w:textAlignment w:val="auto"/>
        <w:rPr>
          <w:rFonts w:hint="eastAsia" w:ascii="宋体"/>
          <w:b/>
          <w:color w:val="auto"/>
          <w:sz w:val="24"/>
          <w:szCs w:val="24"/>
          <w:highlight w:val="none"/>
          <w:lang w:val="en-US" w:eastAsia="zh-CN"/>
        </w:rPr>
      </w:pPr>
      <w:r>
        <w:rPr>
          <w:rFonts w:hint="eastAsia" w:ascii="宋体" w:hAnsi="宋体" w:eastAsia="宋体" w:cs="宋体"/>
          <w:b/>
          <w:bCs w:val="0"/>
          <w:color w:val="auto"/>
          <w:szCs w:val="21"/>
          <w:highlight w:val="none"/>
          <w:u w:val="double"/>
          <w:lang w:eastAsia="zh-CN"/>
        </w:rPr>
        <w:t>上述各类证书发生变更的，应办理完变更手续方可参加比选，并以发证机关核准的变更为准；否则为证书无效进行评定</w:t>
      </w:r>
      <w:r>
        <w:rPr>
          <w:rFonts w:hint="eastAsia" w:ascii="宋体" w:hAnsi="宋体" w:eastAsia="宋体" w:cs="宋体"/>
          <w:b/>
          <w:bCs w:val="0"/>
          <w:color w:val="auto"/>
          <w:szCs w:val="21"/>
          <w:highlight w:val="none"/>
          <w:u w:val="none"/>
          <w:lang w:eastAsia="zh-CN"/>
        </w:rPr>
        <w:t>。</w:t>
      </w:r>
    </w:p>
    <w:p>
      <w:pPr>
        <w:keepNext w:val="0"/>
        <w:keepLines w:val="0"/>
        <w:pageBreakBefore w:val="0"/>
        <w:kinsoku/>
        <w:wordWrap/>
        <w:overflowPunct/>
        <w:topLinePunct w:val="0"/>
        <w:bidi w:val="0"/>
        <w:spacing w:line="480" w:lineRule="exact"/>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keepNext w:val="0"/>
        <w:keepLines w:val="0"/>
        <w:pageBreakBefore w:val="0"/>
        <w:shd w:val="clear" w:color="auto" w:fill="FFFFFF"/>
        <w:kinsoku/>
        <w:wordWrap/>
        <w:overflowPunct/>
        <w:topLinePunct w:val="0"/>
        <w:bidi w:val="0"/>
        <w:spacing w:beforeLines="50" w:beforeAutospacing="0" w:afterLines="50" w:afterAutospacing="0" w:line="480" w:lineRule="exac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firstLine="640"/>
        <w:rPr>
          <w:color w:val="auto"/>
          <w:highlight w:val="none"/>
          <w:shd w:val="clear" w:color="auto" w:fill="FFFFFF"/>
        </w:rPr>
      </w:pPr>
    </w:p>
    <w:p>
      <w:pPr>
        <w:pStyle w:val="6"/>
        <w:keepNext w:val="0"/>
        <w:keepLines w:val="0"/>
        <w:pageBreakBefore w:val="0"/>
        <w:kinsoku/>
        <w:wordWrap/>
        <w:overflowPunct/>
        <w:topLinePunct w:val="0"/>
        <w:bidi w:val="0"/>
        <w:spacing w:before="0" w:beforeAutospacing="0" w:after="0" w:afterAutospacing="0" w:line="480" w:lineRule="exact"/>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keepNext w:val="0"/>
        <w:keepLines w:val="0"/>
        <w:pageBreakBefore w:val="0"/>
        <w:kinsoku/>
        <w:wordWrap/>
        <w:overflowPunct/>
        <w:topLinePunct w:val="0"/>
        <w:bidi w:val="0"/>
        <w:spacing w:before="0" w:beforeAutospacing="0" w:after="0" w:afterAutospacing="0" w:line="480" w:lineRule="exact"/>
        <w:ind w:firstLine="640"/>
        <w:jc w:val="both"/>
        <w:rPr>
          <w:color w:val="auto"/>
          <w:highlight w:val="none"/>
        </w:rPr>
      </w:pPr>
      <w:r>
        <w:rPr>
          <w:rFonts w:hint="eastAsia"/>
          <w:color w:val="auto"/>
          <w:highlight w:val="none"/>
        </w:rPr>
        <w:t> </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仿宋" w:hAnsi="仿宋" w:eastAsia="仿宋"/>
          <w:color w:val="auto"/>
          <w:sz w:val="32"/>
          <w:szCs w:val="32"/>
          <w:highlight w:val="none"/>
        </w:rPr>
      </w:pP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仿宋" w:hAnsi="仿宋" w:eastAsia="仿宋"/>
          <w:color w:val="auto"/>
          <w:sz w:val="32"/>
          <w:szCs w:val="32"/>
          <w:highlight w:val="none"/>
        </w:rPr>
      </w:pP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color w:val="auto"/>
          <w:highlight w:val="none"/>
          <w:shd w:val="clear" w:color="auto" w:fill="FFFFFF"/>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8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48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keepNext w:val="0"/>
        <w:keepLines w:val="0"/>
        <w:pageBreakBefore w:val="0"/>
        <w:kinsoku/>
        <w:wordWrap/>
        <w:overflowPunct/>
        <w:topLinePunct w:val="0"/>
        <w:bidi w:val="0"/>
        <w:spacing w:line="480" w:lineRule="exact"/>
        <w:rPr>
          <w:rFonts w:hint="eastAsia" w:ascii="黑体" w:hAnsi="黑体" w:eastAsia="黑体" w:cs="黑体"/>
          <w:color w:val="auto"/>
          <w:sz w:val="32"/>
          <w:szCs w:val="32"/>
          <w:highlight w:val="none"/>
          <w:shd w:val="clear" w:color="auto" w:fill="FFFFFF"/>
          <w:lang w:eastAsia="zh-CN"/>
        </w:rPr>
      </w:pPr>
    </w:p>
    <w:p>
      <w:pPr>
        <w:keepNext w:val="0"/>
        <w:keepLines w:val="0"/>
        <w:pageBreakBefore w:val="0"/>
        <w:kinsoku/>
        <w:wordWrap/>
        <w:overflowPunct/>
        <w:topLinePunct w:val="0"/>
        <w:bidi w:val="0"/>
        <w:spacing w:line="480" w:lineRule="exact"/>
        <w:rPr>
          <w:color w:val="auto"/>
          <w:sz w:val="24"/>
          <w:szCs w:val="24"/>
          <w:highlight w:val="none"/>
          <w:u w:val="none"/>
        </w:rPr>
      </w:pPr>
    </w:p>
    <w:p>
      <w:pPr>
        <w:pStyle w:val="6"/>
        <w:keepNext w:val="0"/>
        <w:keepLines w:val="0"/>
        <w:pageBreakBefore w:val="0"/>
        <w:shd w:val="clear" w:color="auto" w:fill="FFFFFF"/>
        <w:kinsoku/>
        <w:wordWrap/>
        <w:overflowPunct/>
        <w:topLinePunct w:val="0"/>
        <w:bidi w:val="0"/>
        <w:spacing w:beforeLines="50" w:beforeAutospacing="0" w:afterLines="50" w:afterAutospacing="0" w:line="480" w:lineRule="exac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bidi w:val="0"/>
              <w:spacing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bidi w:val="0"/>
              <w:spacing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bidi w:val="0"/>
              <w:spacing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bidi w:val="0"/>
              <w:spacing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keepNext w:val="0"/>
              <w:keepLines w:val="0"/>
              <w:pageBreakBefore w:val="0"/>
              <w:tabs>
                <w:tab w:val="left" w:pos="420"/>
                <w:tab w:val="left" w:pos="630"/>
              </w:tabs>
              <w:kinsoku/>
              <w:wordWrap/>
              <w:overflowPunct/>
              <w:topLinePunct w:val="0"/>
              <w:bidi w:val="0"/>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keepNext w:val="0"/>
              <w:keepLines w:val="0"/>
              <w:pageBreakBefore w:val="0"/>
              <w:tabs>
                <w:tab w:val="left" w:pos="420"/>
                <w:tab w:val="left" w:pos="630"/>
              </w:tabs>
              <w:kinsoku/>
              <w:wordWrap/>
              <w:overflowPunct/>
              <w:topLinePunct w:val="0"/>
              <w:bidi w:val="0"/>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keepNext w:val="0"/>
              <w:keepLines w:val="0"/>
              <w:pageBreakBefore w:val="0"/>
              <w:tabs>
                <w:tab w:val="left" w:pos="420"/>
                <w:tab w:val="left" w:pos="630"/>
              </w:tabs>
              <w:kinsoku/>
              <w:wordWrap/>
              <w:overflowPunct/>
              <w:topLinePunct w:val="0"/>
              <w:bidi w:val="0"/>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keepNext w:val="0"/>
              <w:keepLines w:val="0"/>
              <w:pageBreakBefore w:val="0"/>
              <w:tabs>
                <w:tab w:val="left" w:pos="420"/>
                <w:tab w:val="left" w:pos="630"/>
              </w:tabs>
              <w:kinsoku/>
              <w:wordWrap/>
              <w:overflowPunct/>
              <w:topLinePunct w:val="0"/>
              <w:bidi w:val="0"/>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自合同签订之日起两年</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bidi w:val="0"/>
              <w:spacing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kinsoku/>
              <w:wordWrap/>
              <w:overflowPunct/>
              <w:topLinePunct w:val="0"/>
              <w:bidi w:val="0"/>
              <w:spacing w:line="480" w:lineRule="exact"/>
              <w:jc w:val="center"/>
              <w:rPr>
                <w:rFonts w:hint="eastAsia" w:ascii="宋体" w:hAnsi="宋体" w:eastAsia="宋体" w:cs="宋体"/>
                <w:color w:val="auto"/>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6"/>
        <w:keepNext w:val="0"/>
        <w:keepLines w:val="0"/>
        <w:pageBreakBefore w:val="0"/>
        <w:kinsoku/>
        <w:wordWrap/>
        <w:overflowPunct/>
        <w:topLinePunct w:val="0"/>
        <w:bidi w:val="0"/>
        <w:spacing w:before="0" w:beforeAutospacing="0" w:after="0" w:afterAutospacing="0" w:line="480" w:lineRule="exact"/>
        <w:ind w:firstLine="640"/>
        <w:jc w:val="both"/>
        <w:rPr>
          <w:color w:val="auto"/>
          <w:highlight w:val="none"/>
        </w:rPr>
      </w:pP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keepNext w:val="0"/>
        <w:keepLines w:val="0"/>
        <w:pageBreakBefore w:val="0"/>
        <w:shd w:val="clear" w:color="auto" w:fill="FFFFFF"/>
        <w:kinsoku/>
        <w:wordWrap/>
        <w:overflowPunct/>
        <w:topLinePunct w:val="0"/>
        <w:bidi w:val="0"/>
        <w:spacing w:before="0" w:beforeAutospacing="0" w:after="0" w:afterAutospacing="0" w:line="480" w:lineRule="exact"/>
        <w:ind w:right="474"/>
        <w:jc w:val="right"/>
        <w:rPr>
          <w:rFonts w:hint="eastAsia" w:ascii="宋体" w:hAnsi="宋体" w:eastAsia="宋体" w:cs="宋体"/>
          <w:color w:val="auto"/>
          <w:sz w:val="24"/>
          <w:szCs w:val="24"/>
          <w:highlight w:val="none"/>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8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after="0" w:line="48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after="0" w:line="48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641D825D"/>
    <w:multiLevelType w:val="singleLevel"/>
    <w:tmpl w:val="641D825D"/>
    <w:lvl w:ilvl="0" w:tentative="0">
      <w:start w:val="1"/>
      <w:numFmt w:val="decimal"/>
      <w:suff w:val="nothing"/>
      <w:lvlText w:val="%1."/>
      <w:lvlJc w:val="left"/>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BFA6672"/>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nt41"/>
    <w:basedOn w:val="9"/>
    <w:qFormat/>
    <w:uiPriority w:val="0"/>
    <w:rPr>
      <w:rFonts w:ascii="宋体" w:hAnsi="宋体" w:eastAsia="宋体" w:cs="宋体"/>
      <w:b/>
      <w:bCs/>
      <w:color w:val="422E00"/>
      <w:sz w:val="14"/>
      <w:szCs w:val="14"/>
      <w:u w:val="none"/>
    </w:rPr>
  </w:style>
  <w:style w:type="character" w:customStyle="1" w:styleId="11">
    <w:name w:val="font51"/>
    <w:basedOn w:val="9"/>
    <w:qFormat/>
    <w:uiPriority w:val="0"/>
    <w:rPr>
      <w:rFonts w:ascii="宋体" w:hAnsi="宋体" w:eastAsia="宋体" w:cs="宋体"/>
      <w:b/>
      <w:bCs/>
      <w:color w:val="502D00"/>
      <w:sz w:val="14"/>
      <w:szCs w:val="14"/>
      <w:u w:val="none"/>
    </w:rPr>
  </w:style>
  <w:style w:type="character" w:customStyle="1" w:styleId="12">
    <w:name w:val="font31"/>
    <w:basedOn w:val="9"/>
    <w:qFormat/>
    <w:uiPriority w:val="0"/>
    <w:rPr>
      <w:rFonts w:hint="eastAsia" w:ascii="宋体" w:hAnsi="宋体" w:eastAsia="宋体" w:cs="宋体"/>
      <w:color w:val="000000"/>
      <w:sz w:val="32"/>
      <w:szCs w:val="32"/>
      <w:u w:val="none"/>
    </w:rPr>
  </w:style>
  <w:style w:type="character" w:customStyle="1" w:styleId="13">
    <w:name w:val="font81"/>
    <w:basedOn w:val="9"/>
    <w:qFormat/>
    <w:uiPriority w:val="0"/>
    <w:rPr>
      <w:rFonts w:ascii="宋体" w:hAnsi="宋体" w:eastAsia="宋体" w:cs="宋体"/>
      <w:color w:val="412E00"/>
      <w:sz w:val="14"/>
      <w:szCs w:val="14"/>
      <w:u w:val="none"/>
    </w:rPr>
  </w:style>
  <w:style w:type="character" w:customStyle="1" w:styleId="14">
    <w:name w:val="font101"/>
    <w:basedOn w:val="9"/>
    <w:qFormat/>
    <w:uiPriority w:val="0"/>
    <w:rPr>
      <w:rFonts w:ascii="宋体" w:hAnsi="宋体" w:eastAsia="宋体" w:cs="宋体"/>
      <w:color w:val="000000"/>
      <w:sz w:val="14"/>
      <w:szCs w:val="14"/>
      <w:u w:val="none"/>
    </w:rPr>
  </w:style>
  <w:style w:type="paragraph" w:customStyle="1" w:styleId="15">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2024-09-02T09:37:21Z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