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</w:t>
      </w:r>
      <w:r>
        <w:rPr>
          <w:rFonts w:hint="eastAsia"/>
          <w:color w:val="auto"/>
          <w:highlight w:val="none"/>
          <w:u w:val="single"/>
          <w:lang w:val="en-US" w:eastAsia="zh-CN"/>
        </w:rPr>
        <w:t>商业广场影院招租（二次比选）</w:t>
      </w:r>
      <w:r>
        <w:rPr>
          <w:rFonts w:hint="eastAsia"/>
          <w:color w:val="auto"/>
          <w:highlight w:val="none"/>
          <w:u w:val="none"/>
          <w:lang w:val="en-US" w:eastAsia="zh-CN"/>
        </w:rPr>
        <w:t>比选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</w:t>
      </w:r>
      <w:r>
        <w:rPr>
          <w:rFonts w:hint="eastAsia"/>
          <w:color w:val="auto"/>
          <w:highlight w:val="none"/>
          <w:u w:val="single"/>
          <w:lang w:val="en-US" w:eastAsia="zh-CN"/>
        </w:rPr>
        <w:t>商业广场</w:t>
      </w:r>
      <w:r>
        <w:rPr>
          <w:rFonts w:hint="eastAsia"/>
          <w:color w:val="auto"/>
          <w:highlight w:val="none"/>
          <w:u w:val="single"/>
          <w:lang w:eastAsia="zh-CN"/>
        </w:rPr>
        <w:t>影院招租（二次比选）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平面规划</w:t>
      </w:r>
      <w:r>
        <w:rPr>
          <w:rFonts w:hint="eastAsia"/>
          <w:color w:val="auto"/>
          <w:highlight w:val="none"/>
          <w:lang w:val="en-US" w:eastAsia="zh-CN"/>
        </w:rPr>
        <w:t>工艺</w:t>
      </w:r>
      <w:r>
        <w:rPr>
          <w:rFonts w:hint="eastAsia"/>
          <w:color w:val="auto"/>
          <w:highlight w:val="none"/>
        </w:rPr>
        <w:t>图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1-3.平面工艺规划图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lang w:val="en-US" w:eastAsia="zh-CN"/>
        </w:rPr>
        <w:t>比选申请人经自行现场实地踏勘，在此附上并制作平面工艺规划图。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6"/>
        <w:gridCol w:w="61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分成比例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合作期限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8" w:hRule="exac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租金（优惠期后）最低限价为按“票房净收入*分成比例”为实际租金，至少每五年递增一次，每次递增比例不低于1%。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2.租金优惠期为3年，租金优惠期内租金按200元/月收取。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3.租金缴纳方式：按季度结算支付。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4.合作期间物业管理费按3元/㎡/月标准缴纳，如有其他费用则按实缴纳。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5.按分成比例结算的租金含物业管理费但不包括其他费用；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票房净收入=票房-国家电影专项基金-税收及附加。</w:t>
            </w:r>
          </w:p>
          <w:p>
            <w:pPr>
              <w:jc w:val="both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</w:t>
            </w:r>
          </w:p>
        </w:tc>
      </w:tr>
    </w:tbl>
    <w:p>
      <w:pPr>
        <w:pStyle w:val="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6F852A6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2024-05-30T02:15:04Z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